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CBCE" w14:textId="77777777" w:rsidR="00DA7EB0" w:rsidRPr="00BE7F1E" w:rsidRDefault="00DA7EB0" w:rsidP="00DA7EB0">
      <w:pPr>
        <w:jc w:val="right"/>
        <w:rPr>
          <w:rFonts w:ascii="PermianSerifTypeface" w:hAnsi="PermianSerifTypeface"/>
          <w:b/>
          <w:lang w:val="ro-RO"/>
        </w:rPr>
      </w:pPr>
      <w:r w:rsidRPr="00BE7F1E">
        <w:rPr>
          <w:rFonts w:ascii="PermianSerifTypeface" w:hAnsi="PermianSerifTypeface"/>
          <w:b/>
          <w:lang w:val="ro-RO"/>
        </w:rPr>
        <w:t>Proiect</w:t>
      </w:r>
    </w:p>
    <w:p w14:paraId="49D961F2" w14:textId="77777777" w:rsidR="00DA7EB0" w:rsidRPr="00BE7F1E" w:rsidRDefault="00DA7EB0" w:rsidP="00DA7EB0">
      <w:pPr>
        <w:jc w:val="center"/>
        <w:rPr>
          <w:rFonts w:ascii="PermianSerifTypeface" w:hAnsi="PermianSerifTypeface"/>
          <w:b/>
          <w:lang w:val="ro-RO"/>
        </w:rPr>
      </w:pPr>
    </w:p>
    <w:p w14:paraId="338F5F06" w14:textId="77777777" w:rsidR="00DA7EB0" w:rsidRPr="00BE7F1E" w:rsidRDefault="00DA7EB0" w:rsidP="00DA7EB0">
      <w:pPr>
        <w:jc w:val="center"/>
        <w:rPr>
          <w:rFonts w:ascii="PermianSerifTypeface" w:hAnsi="PermianSerifTypeface"/>
          <w:b/>
          <w:lang w:val="ro-RO"/>
        </w:rPr>
      </w:pPr>
      <w:r w:rsidRPr="00BE7F1E">
        <w:rPr>
          <w:rFonts w:ascii="PermianSerifTypeface" w:hAnsi="PermianSerifTypeface"/>
          <w:b/>
          <w:lang w:val="ro-RO"/>
        </w:rPr>
        <w:t>COMITETUL EXECUTIV</w:t>
      </w:r>
    </w:p>
    <w:p w14:paraId="1E3D486A" w14:textId="77777777" w:rsidR="00DA7EB0" w:rsidRPr="00BE7F1E" w:rsidRDefault="00DA7EB0" w:rsidP="00DA7EB0">
      <w:pPr>
        <w:jc w:val="center"/>
        <w:rPr>
          <w:rFonts w:ascii="PermianSerifTypeface" w:hAnsi="PermianSerifTypeface"/>
          <w:b/>
          <w:lang w:val="ro-RO"/>
        </w:rPr>
      </w:pPr>
      <w:r w:rsidRPr="00BE7F1E">
        <w:rPr>
          <w:rFonts w:ascii="PermianSerifTypeface" w:hAnsi="PermianSerifTypeface"/>
          <w:b/>
          <w:lang w:val="ro-RO"/>
        </w:rPr>
        <w:t>AL BĂNCII NAȚIONALE A MOLDOVEI</w:t>
      </w:r>
    </w:p>
    <w:p w14:paraId="300FDF2E" w14:textId="77777777" w:rsidR="00DA7EB0" w:rsidRPr="00BE7F1E" w:rsidRDefault="00DA7EB0" w:rsidP="00DA7EB0">
      <w:pPr>
        <w:jc w:val="center"/>
        <w:rPr>
          <w:rFonts w:ascii="PermianSerifTypeface" w:hAnsi="PermianSerifTypeface"/>
          <w:b/>
          <w:lang w:val="ro-RO"/>
        </w:rPr>
      </w:pPr>
    </w:p>
    <w:p w14:paraId="6BF1A4ED" w14:textId="77777777" w:rsidR="00DA7EB0" w:rsidRPr="00BE7F1E" w:rsidRDefault="00DA7EB0" w:rsidP="00DA7EB0">
      <w:pPr>
        <w:jc w:val="center"/>
        <w:rPr>
          <w:rFonts w:ascii="PermianSerifTypeface" w:hAnsi="PermianSerifTypeface"/>
          <w:b/>
          <w:lang w:val="ro-RO"/>
        </w:rPr>
      </w:pPr>
      <w:r w:rsidRPr="00BE7F1E">
        <w:rPr>
          <w:rFonts w:ascii="PermianSerifTypeface" w:hAnsi="PermianSerifTypeface"/>
          <w:b/>
          <w:lang w:val="ro-RO"/>
        </w:rPr>
        <w:t>HOTĂRÂREA nr.</w:t>
      </w:r>
    </w:p>
    <w:p w14:paraId="3051014C" w14:textId="18A8C1B7" w:rsidR="00DA7EB0" w:rsidRPr="00BE7F1E" w:rsidRDefault="00DA7EB0" w:rsidP="00DA7EB0">
      <w:pPr>
        <w:jc w:val="center"/>
        <w:rPr>
          <w:rFonts w:ascii="PermianSerifTypeface" w:hAnsi="PermianSerifTypeface"/>
          <w:b/>
          <w:lang w:val="ro-RO"/>
        </w:rPr>
      </w:pPr>
      <w:r w:rsidRPr="00BE7F1E">
        <w:rPr>
          <w:rFonts w:ascii="PermianSerifTypeface" w:hAnsi="PermianSerifTypeface"/>
          <w:b/>
          <w:lang w:val="ro-RO"/>
        </w:rPr>
        <w:t>din ___    ____________  202</w:t>
      </w:r>
      <w:r w:rsidR="002858B5" w:rsidRPr="00BE7F1E">
        <w:rPr>
          <w:rFonts w:ascii="PermianSerifTypeface" w:hAnsi="PermianSerifTypeface"/>
          <w:b/>
          <w:lang w:val="ro-RO"/>
        </w:rPr>
        <w:t>4</w:t>
      </w:r>
    </w:p>
    <w:p w14:paraId="2EAB9B59" w14:textId="77777777" w:rsidR="00DA7EB0" w:rsidRPr="00BE7F1E" w:rsidRDefault="00DA7EB0" w:rsidP="00DA7EB0">
      <w:pPr>
        <w:jc w:val="center"/>
        <w:rPr>
          <w:rFonts w:ascii="PermianSerifTypeface" w:hAnsi="PermianSerifTypeface"/>
          <w:b/>
          <w:lang w:val="ro-RO"/>
        </w:rPr>
      </w:pPr>
    </w:p>
    <w:p w14:paraId="08737DE7" w14:textId="143A3FF0" w:rsidR="00DA7EB0" w:rsidRPr="00BE7F1E" w:rsidRDefault="00DA7EB0" w:rsidP="00DA7EB0">
      <w:pPr>
        <w:tabs>
          <w:tab w:val="left" w:pos="265"/>
        </w:tabs>
        <w:spacing w:after="120"/>
        <w:jc w:val="center"/>
        <w:rPr>
          <w:rFonts w:ascii="PermianSerifTypeface" w:hAnsi="PermianSerifTypeface"/>
          <w:b/>
          <w:lang w:val="ro-RO"/>
        </w:rPr>
      </w:pPr>
      <w:r w:rsidRPr="00BE7F1E">
        <w:rPr>
          <w:rFonts w:ascii="PermianSerifTypeface" w:hAnsi="PermianSerifTypeface"/>
          <w:b/>
          <w:lang w:val="ro-RO"/>
        </w:rPr>
        <w:t xml:space="preserve">Pentru aprobarea Regulamentului privind creditarea responsabilă a consumatorilor </w:t>
      </w:r>
    </w:p>
    <w:p w14:paraId="51B1AEDB" w14:textId="77777777" w:rsidR="00DA7EB0" w:rsidRPr="00BE7F1E" w:rsidRDefault="00DA7EB0" w:rsidP="00DA7EB0">
      <w:pPr>
        <w:jc w:val="center"/>
        <w:rPr>
          <w:rFonts w:ascii="PermianSerifTypeface" w:hAnsi="PermianSerifTypeface"/>
          <w:b/>
          <w:lang w:val="ro-RO"/>
        </w:rPr>
      </w:pPr>
    </w:p>
    <w:p w14:paraId="288DDA48" w14:textId="4238130D" w:rsidR="00DA7EB0" w:rsidRPr="00BE7F1E" w:rsidRDefault="00DA7EB0" w:rsidP="00DA7EB0">
      <w:pPr>
        <w:tabs>
          <w:tab w:val="left" w:pos="1134"/>
        </w:tabs>
        <w:jc w:val="both"/>
        <w:rPr>
          <w:rFonts w:ascii="PermianSerifTypeface" w:hAnsi="PermianSerifTypeface"/>
          <w:lang w:val="ro-RO" w:eastAsia="ru-RU"/>
        </w:rPr>
      </w:pPr>
      <w:r w:rsidRPr="00BE7F1E">
        <w:rPr>
          <w:rFonts w:ascii="PermianSerifTypeface" w:hAnsi="PermianSerifTypeface"/>
          <w:lang w:val="ro-RO" w:eastAsia="ru-RU"/>
        </w:rPr>
        <w:t>În temeiul art.5 alin. (1) lit. d) și p), art.27 alin.(1) lit. c), art.44 lit. a) din Legea nr.548/1995 cu privire la Banca Națională a Moldovei (republicată în Monitorul Oficial al Republicii Moldova, 2015, nr.297-300, art.544), cu modificările ulterioare, art.38</w:t>
      </w:r>
      <w:r w:rsidRPr="00BE7F1E">
        <w:rPr>
          <w:rFonts w:ascii="PermianSerifTypeface" w:hAnsi="PermianSerifTypeface"/>
          <w:vertAlign w:val="superscript"/>
          <w:lang w:val="ro-RO" w:eastAsia="ru-RU"/>
        </w:rPr>
        <w:t>1</w:t>
      </w:r>
      <w:r w:rsidRPr="00BE7F1E">
        <w:rPr>
          <w:rFonts w:ascii="PermianSerifTypeface" w:hAnsi="PermianSerifTypeface"/>
          <w:lang w:val="ro-RO" w:eastAsia="ru-RU"/>
        </w:rPr>
        <w:t xml:space="preserve"> și art. 84 din Legea nr.202/2017 privind activitatea băncilor (Monitorul Oficial al Republicii Moldova, 2017, nr.434-439, art.727), cu modificările ulterioare, art.23 alin.(4) lit.</w:t>
      </w:r>
      <w:r w:rsidR="000A2BAC">
        <w:rPr>
          <w:rFonts w:ascii="PermianSerifTypeface" w:hAnsi="PermianSerifTypeface"/>
          <w:lang w:val="ro-RO" w:eastAsia="ru-RU"/>
        </w:rPr>
        <w:t xml:space="preserve"> </w:t>
      </w:r>
      <w:r w:rsidRPr="00BE7F1E">
        <w:rPr>
          <w:rFonts w:ascii="PermianSerifTypeface" w:hAnsi="PermianSerifTypeface"/>
          <w:lang w:val="ro-RO" w:eastAsia="ru-RU"/>
        </w:rPr>
        <w:t xml:space="preserve">e) din Legea nr.1/2018 cu privire la organizațiile de creditare nebancară (Monitorul Oficial al Republicii Moldova, 2018, nr.108–112, art.200), </w:t>
      </w:r>
      <w:r w:rsidRPr="00BE7F1E">
        <w:rPr>
          <w:rFonts w:ascii="PermianSerifTypeface" w:hAnsi="PermianSerifTypeface"/>
          <w:lang w:val="ro-RO"/>
        </w:rPr>
        <w:t xml:space="preserve">Comitetul executiv </w:t>
      </w:r>
      <w:r w:rsidRPr="00BE7F1E">
        <w:rPr>
          <w:rFonts w:ascii="PermianSerifTypeface" w:hAnsi="PermianSerifTypeface"/>
          <w:lang w:val="ro-RO" w:eastAsia="ru-RU"/>
        </w:rPr>
        <w:t xml:space="preserve">al Băncii Naționale a Moldovei </w:t>
      </w:r>
    </w:p>
    <w:p w14:paraId="64FBC403" w14:textId="77777777" w:rsidR="00DA7EB0" w:rsidRPr="00BE7F1E" w:rsidRDefault="00DA7EB0" w:rsidP="00DA7EB0">
      <w:pPr>
        <w:tabs>
          <w:tab w:val="left" w:pos="1134"/>
        </w:tabs>
        <w:ind w:firstLine="720"/>
        <w:jc w:val="both"/>
        <w:rPr>
          <w:rFonts w:ascii="PermianSerifTypeface" w:hAnsi="PermianSerifTypeface"/>
          <w:lang w:val="ro-RO" w:eastAsia="ru-RU"/>
        </w:rPr>
      </w:pPr>
    </w:p>
    <w:p w14:paraId="299B8859" w14:textId="77777777" w:rsidR="00DA7EB0" w:rsidRPr="00BE7F1E" w:rsidRDefault="00DA7EB0" w:rsidP="00497793">
      <w:pPr>
        <w:tabs>
          <w:tab w:val="left" w:pos="1134"/>
        </w:tabs>
        <w:jc w:val="center"/>
        <w:rPr>
          <w:rFonts w:ascii="PermianSerifTypeface" w:hAnsi="PermianSerifTypeface"/>
          <w:b/>
          <w:lang w:val="ro-RO" w:eastAsia="ru-RU"/>
        </w:rPr>
      </w:pPr>
      <w:r w:rsidRPr="00BE7F1E">
        <w:rPr>
          <w:rFonts w:ascii="PermianSerifTypeface" w:hAnsi="PermianSerifTypeface"/>
          <w:b/>
          <w:lang w:val="ro-RO" w:eastAsia="ru-RU"/>
        </w:rPr>
        <w:t>HOTĂRĂŞTE:</w:t>
      </w:r>
    </w:p>
    <w:p w14:paraId="4ECA8F54" w14:textId="77777777" w:rsidR="00DA7EB0" w:rsidRPr="00BE7F1E" w:rsidRDefault="00DA7EB0" w:rsidP="00DA7EB0">
      <w:pPr>
        <w:tabs>
          <w:tab w:val="left" w:pos="1134"/>
        </w:tabs>
        <w:ind w:firstLine="720"/>
        <w:jc w:val="both"/>
        <w:rPr>
          <w:rFonts w:ascii="PermianSerifTypeface" w:hAnsi="PermianSerifTypeface"/>
          <w:b/>
          <w:lang w:val="ro-RO" w:eastAsia="ru-RU"/>
        </w:rPr>
      </w:pPr>
    </w:p>
    <w:p w14:paraId="4BE970EB" w14:textId="43A45FF9" w:rsidR="00DA7EB0" w:rsidRPr="000208AF" w:rsidRDefault="00DA7EB0" w:rsidP="000208AF">
      <w:pPr>
        <w:pStyle w:val="ListParagraph"/>
        <w:numPr>
          <w:ilvl w:val="0"/>
          <w:numId w:val="35"/>
        </w:numPr>
        <w:ind w:left="426"/>
        <w:rPr>
          <w:rFonts w:ascii="PermianSerifTypeface" w:hAnsi="PermianSerifTypeface"/>
          <w:lang w:val="ro-RO"/>
        </w:rPr>
      </w:pPr>
      <w:r w:rsidRPr="000208AF">
        <w:rPr>
          <w:rFonts w:ascii="PermianSerifTypeface" w:hAnsi="PermianSerifTypeface"/>
          <w:lang w:val="ro-RO" w:eastAsia="ru-RU"/>
        </w:rPr>
        <w:t xml:space="preserve">Se aprobă </w:t>
      </w:r>
      <w:r w:rsidRPr="000208AF">
        <w:rPr>
          <w:rFonts w:ascii="PermianSerifTypeface" w:hAnsi="PermianSerifTypeface"/>
          <w:lang w:val="ro-RO"/>
        </w:rPr>
        <w:t>Regulamentul privind creditarea responsabilă a consumatorilor</w:t>
      </w:r>
      <w:r w:rsidR="00C0206E">
        <w:rPr>
          <w:rFonts w:ascii="PermianSerifTypeface" w:hAnsi="PermianSerifTypeface"/>
          <w:lang w:val="ro-RO"/>
        </w:rPr>
        <w:t xml:space="preserve"> </w:t>
      </w:r>
      <w:r w:rsidRPr="000208AF">
        <w:rPr>
          <w:rFonts w:ascii="PermianSerifTypeface" w:hAnsi="PermianSerifTypeface"/>
          <w:lang w:val="ro-RO"/>
        </w:rPr>
        <w:t xml:space="preserve"> </w:t>
      </w:r>
      <w:r w:rsidR="00C0206E">
        <w:rPr>
          <w:rFonts w:ascii="PermianSerifTypeface" w:hAnsi="PermianSerifTypeface"/>
          <w:lang w:val="ro-RO"/>
        </w:rPr>
        <w:t>(</w:t>
      </w:r>
      <w:r w:rsidR="00C76AEC" w:rsidRPr="000208AF">
        <w:rPr>
          <w:rFonts w:ascii="PermianSerifTypeface" w:hAnsi="PermianSerifTypeface"/>
          <w:lang w:val="ro-RO"/>
        </w:rPr>
        <w:t xml:space="preserve">se </w:t>
      </w:r>
      <w:r w:rsidRPr="000208AF">
        <w:rPr>
          <w:rFonts w:ascii="PermianSerifTypeface" w:hAnsi="PermianSerifTypeface"/>
          <w:lang w:val="ro-RO"/>
        </w:rPr>
        <w:t>anexe</w:t>
      </w:r>
      <w:r w:rsidR="00C76AEC" w:rsidRPr="000208AF">
        <w:rPr>
          <w:rFonts w:ascii="PermianSerifTypeface" w:hAnsi="PermianSerifTypeface"/>
          <w:lang w:val="ro-RO"/>
        </w:rPr>
        <w:t>ază</w:t>
      </w:r>
      <w:r w:rsidR="00C0206E">
        <w:rPr>
          <w:rFonts w:ascii="PermianSerifTypeface" w:hAnsi="PermianSerifTypeface"/>
          <w:lang w:val="ro-RO"/>
        </w:rPr>
        <w:t>)</w:t>
      </w:r>
      <w:r w:rsidRPr="000208AF">
        <w:rPr>
          <w:rFonts w:ascii="PermianSerifTypeface" w:hAnsi="PermianSerifTypeface"/>
          <w:lang w:val="ro-RO"/>
        </w:rPr>
        <w:t>.</w:t>
      </w:r>
    </w:p>
    <w:p w14:paraId="559DB452" w14:textId="77777777" w:rsidR="00DA7EB0" w:rsidRPr="00BE7F1E" w:rsidRDefault="00DA7EB0" w:rsidP="00DA7EB0">
      <w:pPr>
        <w:ind w:firstLine="720"/>
        <w:rPr>
          <w:rFonts w:ascii="PermianSerifTypeface" w:hAnsi="PermianSerifTypeface"/>
          <w:lang w:val="ro-RO"/>
        </w:rPr>
      </w:pPr>
    </w:p>
    <w:p w14:paraId="1E1B9C89" w14:textId="713C071E" w:rsidR="00DA7EB0" w:rsidRPr="00BE7F1E" w:rsidRDefault="00DA7EB0" w:rsidP="000208AF">
      <w:pPr>
        <w:pStyle w:val="CM4"/>
        <w:numPr>
          <w:ilvl w:val="0"/>
          <w:numId w:val="35"/>
        </w:numPr>
        <w:ind w:left="426"/>
        <w:jc w:val="both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Prezenta hotărâre intră în vigoare</w:t>
      </w:r>
      <w:r w:rsidR="00F72DEE">
        <w:rPr>
          <w:rFonts w:ascii="PermianSerifTypeface" w:hAnsi="PermianSerifTypeface"/>
          <w:lang w:val="ro-RO"/>
        </w:rPr>
        <w:t xml:space="preserve"> în termen de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F72DEE" w:rsidRPr="00F72DEE">
        <w:rPr>
          <w:rFonts w:ascii="PermianSerifTypeface" w:hAnsi="PermianSerifTypeface"/>
          <w:lang w:val="ro-RO"/>
        </w:rPr>
        <w:t>trei luni de la data publicării în Monitorul Oficial al Republicii Moldova.</w:t>
      </w:r>
    </w:p>
    <w:p w14:paraId="2450F915" w14:textId="77777777" w:rsidR="00DA7EB0" w:rsidRPr="00BE7F1E" w:rsidRDefault="00DA7EB0" w:rsidP="00DA7EB0">
      <w:pPr>
        <w:rPr>
          <w:rFonts w:ascii="PermianSerifTypeface" w:eastAsia="Arial Unicode MS" w:hAnsi="PermianSerifTypeface"/>
          <w:lang w:val="ro-RO"/>
        </w:rPr>
      </w:pPr>
    </w:p>
    <w:p w14:paraId="51704EC7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5C8B1251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5E4A8816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6C53ABF3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60F8820F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38A27229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4B025A46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344DFEEE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2F39BF96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5577B023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6BAD15F7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6A308A1B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632F24DE" w14:textId="77777777" w:rsidR="00DA7EB0" w:rsidRPr="00BE7F1E" w:rsidRDefault="00DA7EB0" w:rsidP="00DA7EB0">
      <w:pPr>
        <w:rPr>
          <w:rFonts w:ascii="PermianSerifTypeface" w:hAnsi="PermianSerifTypeface"/>
          <w:lang w:val="ro-RO"/>
        </w:rPr>
      </w:pPr>
    </w:p>
    <w:p w14:paraId="22A64A8B" w14:textId="77777777" w:rsidR="00DA7EB0" w:rsidRPr="00BE7F1E" w:rsidRDefault="00DA7EB0" w:rsidP="00DA7EB0">
      <w:pPr>
        <w:rPr>
          <w:rFonts w:ascii="PermianSerifTypeface" w:hAnsi="PermianSerifTypeface"/>
          <w:lang w:val="ro-RO" w:eastAsia="ru-RU"/>
        </w:rPr>
      </w:pPr>
      <w:r w:rsidRPr="00BE7F1E">
        <w:rPr>
          <w:rFonts w:ascii="PermianSerifTypeface" w:hAnsi="PermianSerifTypeface"/>
          <w:lang w:val="ro-RO" w:eastAsia="ru-RU"/>
        </w:rPr>
        <w:br w:type="page"/>
      </w:r>
    </w:p>
    <w:p w14:paraId="60866D91" w14:textId="77777777" w:rsidR="00DA7EB0" w:rsidRPr="00BE7F1E" w:rsidRDefault="00DA7EB0" w:rsidP="00DA7EB0">
      <w:pPr>
        <w:tabs>
          <w:tab w:val="left" w:pos="1134"/>
        </w:tabs>
        <w:ind w:left="5670"/>
        <w:jc w:val="right"/>
        <w:rPr>
          <w:rFonts w:ascii="PermianSerifTypeface" w:hAnsi="PermianSerifTypeface"/>
          <w:lang w:val="ro-RO" w:eastAsia="ru-RU"/>
        </w:rPr>
      </w:pPr>
    </w:p>
    <w:p w14:paraId="202640EC" w14:textId="77777777" w:rsidR="00DA7EB0" w:rsidRPr="00BE7F1E" w:rsidRDefault="00DA7EB0" w:rsidP="00DA7EB0">
      <w:pPr>
        <w:tabs>
          <w:tab w:val="left" w:pos="1134"/>
        </w:tabs>
        <w:ind w:left="5670"/>
        <w:jc w:val="right"/>
        <w:rPr>
          <w:rFonts w:ascii="PermianSerifTypeface" w:hAnsi="PermianSerifTypeface"/>
          <w:lang w:val="ro-RO" w:eastAsia="ru-RU"/>
        </w:rPr>
      </w:pPr>
      <w:r w:rsidRPr="00BE7F1E">
        <w:rPr>
          <w:rFonts w:ascii="PermianSerifTypeface" w:hAnsi="PermianSerifTypeface"/>
          <w:lang w:val="ro-RO" w:eastAsia="ru-RU"/>
        </w:rPr>
        <w:t>Aprobat prin</w:t>
      </w:r>
    </w:p>
    <w:p w14:paraId="76957120" w14:textId="77777777" w:rsidR="00DA7EB0" w:rsidRPr="00BE7F1E" w:rsidRDefault="00DA7EB0" w:rsidP="00DA7EB0">
      <w:pPr>
        <w:tabs>
          <w:tab w:val="left" w:pos="1134"/>
        </w:tabs>
        <w:ind w:left="5670"/>
        <w:jc w:val="right"/>
        <w:rPr>
          <w:rFonts w:ascii="PermianSerifTypeface" w:hAnsi="PermianSerifTypeface"/>
          <w:lang w:val="ro-RO" w:eastAsia="ru-RU"/>
        </w:rPr>
      </w:pPr>
      <w:r w:rsidRPr="00BE7F1E">
        <w:rPr>
          <w:rFonts w:ascii="PermianSerifTypeface" w:hAnsi="PermianSerifTypeface"/>
          <w:lang w:val="ro-RO" w:eastAsia="ru-RU"/>
        </w:rPr>
        <w:t>Hotărârea Comitetului executiv</w:t>
      </w:r>
    </w:p>
    <w:p w14:paraId="5E21DF32" w14:textId="77777777" w:rsidR="00DA7EB0" w:rsidRPr="00BE7F1E" w:rsidRDefault="00DA7EB0" w:rsidP="00DA7EB0">
      <w:pPr>
        <w:tabs>
          <w:tab w:val="left" w:pos="1134"/>
        </w:tabs>
        <w:ind w:left="5670"/>
        <w:jc w:val="right"/>
        <w:rPr>
          <w:rFonts w:ascii="PermianSerifTypeface" w:hAnsi="PermianSerifTypeface"/>
          <w:lang w:val="ro-RO" w:eastAsia="ru-RU"/>
        </w:rPr>
      </w:pPr>
      <w:r w:rsidRPr="00BE7F1E">
        <w:rPr>
          <w:rFonts w:ascii="PermianSerifTypeface" w:hAnsi="PermianSerifTypeface"/>
          <w:lang w:val="ro-RO" w:eastAsia="ru-RU"/>
        </w:rPr>
        <w:t>al Băncii Naționale a Moldovei</w:t>
      </w:r>
    </w:p>
    <w:p w14:paraId="2BE289FB" w14:textId="6CD1152A" w:rsidR="00DA7EB0" w:rsidRPr="00BE7F1E" w:rsidRDefault="00DA7EB0" w:rsidP="002858B5">
      <w:pPr>
        <w:jc w:val="right"/>
        <w:rPr>
          <w:rFonts w:ascii="PermianSerifTypeface" w:hAnsi="PermianSerifTypeface"/>
          <w:b/>
          <w:lang w:val="ro-RO" w:eastAsia="ru-RU"/>
        </w:rPr>
      </w:pPr>
      <w:r w:rsidRPr="00BE7F1E">
        <w:rPr>
          <w:rFonts w:ascii="PermianSerifTypeface" w:hAnsi="PermianSerifTypeface"/>
          <w:lang w:val="ro-RO" w:eastAsia="ru-RU"/>
        </w:rPr>
        <w:t>nr.___ din ___  _________ 202</w:t>
      </w:r>
      <w:r w:rsidR="002858B5" w:rsidRPr="00BE7F1E">
        <w:rPr>
          <w:rFonts w:ascii="PermianSerifTypeface" w:hAnsi="PermianSerifTypeface"/>
          <w:lang w:val="ro-RO" w:eastAsia="ru-RU"/>
        </w:rPr>
        <w:t>4</w:t>
      </w:r>
    </w:p>
    <w:p w14:paraId="7C7107CE" w14:textId="77777777" w:rsidR="00DA7EB0" w:rsidRPr="00BE7F1E" w:rsidRDefault="00DA7EB0" w:rsidP="00EA6274">
      <w:pPr>
        <w:jc w:val="center"/>
        <w:rPr>
          <w:rFonts w:ascii="PermianSerifTypeface" w:hAnsi="PermianSerifTypeface"/>
          <w:b/>
          <w:lang w:val="ro-RO" w:eastAsia="ru-RU"/>
        </w:rPr>
      </w:pPr>
    </w:p>
    <w:p w14:paraId="64701E62" w14:textId="0978DADD" w:rsidR="0097548E" w:rsidRPr="00BE7F1E" w:rsidRDefault="0097548E" w:rsidP="00EA6274">
      <w:pPr>
        <w:jc w:val="center"/>
        <w:rPr>
          <w:rFonts w:ascii="PermianSerifTypeface" w:hAnsi="PermianSerifTypeface"/>
          <w:b/>
          <w:lang w:val="ro-RO" w:eastAsia="ru-RU"/>
        </w:rPr>
      </w:pPr>
      <w:r w:rsidRPr="00BE7F1E">
        <w:rPr>
          <w:rFonts w:ascii="PermianSerifTypeface" w:hAnsi="PermianSerifTypeface"/>
          <w:b/>
          <w:lang w:val="ro-RO" w:eastAsia="ru-RU"/>
        </w:rPr>
        <w:t>REGULAMENT</w:t>
      </w:r>
    </w:p>
    <w:p w14:paraId="11CF8F20" w14:textId="086B0B2F" w:rsidR="009E7B33" w:rsidRPr="00BE7F1E" w:rsidRDefault="00287F9A" w:rsidP="00EA6274">
      <w:pPr>
        <w:jc w:val="center"/>
        <w:rPr>
          <w:rFonts w:ascii="PermianSerifTypeface" w:hAnsi="PermianSerifTypeface"/>
          <w:b/>
          <w:lang w:val="ro-RO" w:eastAsia="ru-RU"/>
        </w:rPr>
      </w:pPr>
      <w:r w:rsidRPr="00BE7F1E">
        <w:rPr>
          <w:rFonts w:ascii="PermianSerifTypeface" w:hAnsi="PermianSerifTypeface"/>
          <w:b/>
          <w:lang w:val="ro-RO" w:eastAsia="ru-RU"/>
        </w:rPr>
        <w:t xml:space="preserve">PRIVIND CREDITAREA </w:t>
      </w:r>
      <w:r w:rsidR="00196A75" w:rsidRPr="00BE7F1E">
        <w:rPr>
          <w:rFonts w:ascii="PermianSerifTypeface" w:hAnsi="PermianSerifTypeface"/>
          <w:b/>
          <w:lang w:val="ro-RO" w:eastAsia="ru-RU"/>
        </w:rPr>
        <w:t xml:space="preserve">RESPONSABILĂ </w:t>
      </w:r>
      <w:r w:rsidR="007D6644" w:rsidRPr="00BE7F1E">
        <w:rPr>
          <w:rFonts w:ascii="PermianSerifTypeface" w:hAnsi="PermianSerifTypeface"/>
          <w:b/>
          <w:lang w:val="ro-RO" w:eastAsia="ru-RU"/>
        </w:rPr>
        <w:t xml:space="preserve">A </w:t>
      </w:r>
      <w:r w:rsidR="00186E3A" w:rsidRPr="00BE7F1E">
        <w:rPr>
          <w:rFonts w:ascii="PermianSerifTypeface" w:hAnsi="PermianSerifTypeface"/>
          <w:b/>
          <w:lang w:val="ro-RO" w:eastAsia="ru-RU"/>
        </w:rPr>
        <w:t>CONSUMATORILOR</w:t>
      </w:r>
    </w:p>
    <w:p w14:paraId="5E5DD660" w14:textId="77777777" w:rsidR="00815F94" w:rsidRPr="00BE7F1E" w:rsidRDefault="00997180" w:rsidP="00497793">
      <w:pPr>
        <w:autoSpaceDE w:val="0"/>
        <w:autoSpaceDN w:val="0"/>
        <w:adjustRightInd w:val="0"/>
        <w:spacing w:before="240" w:after="240"/>
        <w:rPr>
          <w:rFonts w:ascii="PermianSerifTypeface" w:hAnsi="PermianSerifTypeface"/>
          <w:color w:val="C0504D"/>
          <w:lang w:val="ro-RO" w:eastAsia="ru-RU"/>
        </w:rPr>
      </w:pPr>
      <w:r w:rsidRPr="00BE7F1E">
        <w:rPr>
          <w:rFonts w:ascii="PermianSerifTypeface" w:hAnsi="PermianSerifTypeface"/>
          <w:b/>
          <w:bCs/>
          <w:lang w:val="ro-RO"/>
        </w:rPr>
        <w:t>Capitolul</w:t>
      </w:r>
      <w:r w:rsidR="00815F94" w:rsidRPr="00BE7F1E">
        <w:rPr>
          <w:rFonts w:ascii="PermianSerifTypeface" w:hAnsi="PermianSerifTypeface"/>
          <w:b/>
          <w:bCs/>
          <w:lang w:val="ro-RO"/>
        </w:rPr>
        <w:t xml:space="preserve"> </w:t>
      </w:r>
      <w:r w:rsidRPr="00BE7F1E">
        <w:rPr>
          <w:rFonts w:ascii="PermianSerifTypeface" w:hAnsi="PermianSerifTypeface"/>
          <w:b/>
          <w:bCs/>
          <w:lang w:val="ro-RO"/>
        </w:rPr>
        <w:t>I</w:t>
      </w:r>
      <w:r w:rsidR="00815F94" w:rsidRPr="00BE7F1E">
        <w:rPr>
          <w:rFonts w:ascii="PermianSerifTypeface" w:hAnsi="PermianSerifTypeface"/>
          <w:b/>
          <w:bCs/>
          <w:lang w:val="ro-RO"/>
        </w:rPr>
        <w:t xml:space="preserve">. </w:t>
      </w:r>
      <w:r w:rsidR="009341FD" w:rsidRPr="00BE7F1E">
        <w:rPr>
          <w:rFonts w:ascii="PermianSerifTypeface" w:hAnsi="PermianSerifTypeface"/>
          <w:b/>
          <w:bCs/>
          <w:lang w:val="ro-RO"/>
        </w:rPr>
        <w:t>DOMENIU DE APLICARE</w:t>
      </w:r>
      <w:r w:rsidR="009341FD" w:rsidRPr="00BE7F1E">
        <w:rPr>
          <w:rFonts w:ascii="PermianSerifTypeface" w:hAnsi="PermianSerifTypeface"/>
          <w:bCs/>
          <w:lang w:val="ro-RO"/>
        </w:rPr>
        <w:t xml:space="preserve"> </w:t>
      </w:r>
    </w:p>
    <w:p w14:paraId="0B4EE5BD" w14:textId="708F118A" w:rsidR="0032226F" w:rsidRPr="00BE7F1E" w:rsidRDefault="00287F9A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 xml:space="preserve">Prezentul </w:t>
      </w:r>
      <w:r w:rsidR="007916DD">
        <w:rPr>
          <w:rFonts w:ascii="PermianSerifTypeface" w:eastAsia="Arial Unicode MS" w:hAnsi="PermianSerifTypeface"/>
          <w:bCs/>
          <w:lang w:val="ro-RO"/>
        </w:rPr>
        <w:t>R</w:t>
      </w:r>
      <w:r w:rsidRPr="007916DD">
        <w:rPr>
          <w:rFonts w:ascii="PermianSerifTypeface" w:eastAsia="Arial Unicode MS" w:hAnsi="PermianSerifTypeface"/>
          <w:bCs/>
          <w:lang w:val="ro-RO"/>
        </w:rPr>
        <w:t>e</w:t>
      </w:r>
      <w:r w:rsidRPr="00BE7F1E">
        <w:rPr>
          <w:rFonts w:ascii="PermianSerifTypeface" w:eastAsia="Arial Unicode MS" w:hAnsi="PermianSerifTypeface"/>
          <w:bCs/>
          <w:lang w:val="ro-RO"/>
        </w:rPr>
        <w:t>gulament stabilește pentru băncile din Republica Moldova, sucursalele din Republica Moldova ale băncilor din alte state</w:t>
      </w:r>
      <w:r w:rsidR="008030FD" w:rsidRPr="00BE7F1E">
        <w:rPr>
          <w:rFonts w:ascii="PermianSerifTypeface" w:eastAsia="Arial Unicode MS" w:hAnsi="PermianSerifTypeface"/>
          <w:bCs/>
          <w:lang w:val="ro-RO"/>
        </w:rPr>
        <w:t>, precum și pentru organizațiile de creditare nebancară, înregistrate în Registrul organizațiilor de creditare nebancară autorizate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(în continuare – „</w:t>
      </w:r>
      <w:r w:rsidR="00A709F6" w:rsidRPr="00BE7F1E">
        <w:rPr>
          <w:rFonts w:ascii="PermianSerifTypeface" w:eastAsia="Arial Unicode MS" w:hAnsi="PermianSerifTypeface"/>
          <w:bCs/>
          <w:lang w:val="ro-RO"/>
        </w:rPr>
        <w:t>creditor</w:t>
      </w:r>
      <w:r w:rsidR="00F860EB" w:rsidRPr="00BE7F1E">
        <w:rPr>
          <w:rFonts w:ascii="PermianSerifTypeface" w:eastAsia="Arial Unicode MS" w:hAnsi="PermianSerifTypeface"/>
          <w:bCs/>
          <w:lang w:val="ro-RO"/>
        </w:rPr>
        <w:t>i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”) </w:t>
      </w:r>
      <w:r w:rsidR="00A8562C" w:rsidRPr="00BE7F1E">
        <w:rPr>
          <w:rFonts w:ascii="PermianSerifTypeface" w:eastAsia="Arial Unicode MS" w:hAnsi="PermianSerifTypeface"/>
          <w:bCs/>
          <w:lang w:val="ro-RO"/>
        </w:rPr>
        <w:t xml:space="preserve">cerințele de creditare responsabilă </w:t>
      </w:r>
      <w:r w:rsidR="007F52F1" w:rsidRPr="00BE7F1E">
        <w:rPr>
          <w:rFonts w:ascii="PermianSerifTypeface" w:eastAsia="Arial Unicode MS" w:hAnsi="PermianSerifTypeface"/>
          <w:bCs/>
          <w:lang w:val="ro-RO"/>
        </w:rPr>
        <w:t xml:space="preserve">față de consumatori </w:t>
      </w:r>
      <w:r w:rsidR="00182DFD" w:rsidRPr="00BE7F1E">
        <w:rPr>
          <w:rFonts w:ascii="PermianSerifTypeface" w:eastAsia="Arial Unicode MS" w:hAnsi="PermianSerifTypeface"/>
          <w:bCs/>
          <w:lang w:val="ro-RO"/>
        </w:rPr>
        <w:t>în conformitate cu care se</w:t>
      </w:r>
      <w:r w:rsidR="00A8562C" w:rsidRPr="00BE7F1E">
        <w:rPr>
          <w:rFonts w:ascii="PermianSerifTypeface" w:eastAsia="Arial Unicode MS" w:hAnsi="PermianSerifTypeface"/>
          <w:bCs/>
          <w:lang w:val="ro-RO"/>
        </w:rPr>
        <w:t xml:space="preserve"> evalu</w:t>
      </w:r>
      <w:r w:rsidR="00182DFD" w:rsidRPr="00BE7F1E">
        <w:rPr>
          <w:rFonts w:ascii="PermianSerifTypeface" w:eastAsia="Arial Unicode MS" w:hAnsi="PermianSerifTypeface"/>
          <w:bCs/>
          <w:lang w:val="ro-RO"/>
        </w:rPr>
        <w:t>e</w:t>
      </w:r>
      <w:r w:rsidR="00A8562C" w:rsidRPr="00BE7F1E">
        <w:rPr>
          <w:rFonts w:ascii="PermianSerifTypeface" w:eastAsia="Arial Unicode MS" w:hAnsi="PermianSerifTypeface"/>
          <w:bCs/>
          <w:lang w:val="ro-RO"/>
        </w:rPr>
        <w:t>a</w:t>
      </w:r>
      <w:r w:rsidR="00182DFD" w:rsidRPr="00BE7F1E">
        <w:rPr>
          <w:rFonts w:ascii="PermianSerifTypeface" w:eastAsia="Arial Unicode MS" w:hAnsi="PermianSerifTypeface"/>
          <w:bCs/>
          <w:lang w:val="ro-RO"/>
        </w:rPr>
        <w:t>ză</w:t>
      </w:r>
      <w:r w:rsidR="00A8562C" w:rsidRPr="00BE7F1E">
        <w:rPr>
          <w:rFonts w:ascii="PermianSerifTypeface" w:eastAsia="Arial Unicode MS" w:hAnsi="PermianSerifTypeface"/>
          <w:bCs/>
          <w:lang w:val="ro-RO"/>
        </w:rPr>
        <w:t xml:space="preserve"> bonit</w:t>
      </w:r>
      <w:r w:rsidR="00182DFD" w:rsidRPr="00BE7F1E">
        <w:rPr>
          <w:rFonts w:ascii="PermianSerifTypeface" w:eastAsia="Arial Unicode MS" w:hAnsi="PermianSerifTypeface"/>
          <w:bCs/>
          <w:lang w:val="ro-RO"/>
        </w:rPr>
        <w:t>atea</w:t>
      </w:r>
      <w:r w:rsidR="00A8562C" w:rsidRPr="00BE7F1E">
        <w:rPr>
          <w:rFonts w:ascii="PermianSerifTypeface" w:eastAsia="Arial Unicode MS" w:hAnsi="PermianSerifTypeface"/>
          <w:bCs/>
          <w:lang w:val="ro-RO"/>
        </w:rPr>
        <w:t xml:space="preserve"> consumatorilor</w:t>
      </w:r>
      <w:r w:rsidR="00432E27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A8562C" w:rsidRPr="00BE7F1E">
        <w:rPr>
          <w:rFonts w:ascii="PermianSerifTypeface" w:eastAsia="Arial Unicode MS" w:hAnsi="PermianSerifTypeface"/>
          <w:bCs/>
          <w:lang w:val="ro-RO"/>
        </w:rPr>
        <w:t xml:space="preserve">în cazul </w:t>
      </w:r>
      <w:r w:rsidR="00432E27" w:rsidRPr="00BE7F1E">
        <w:rPr>
          <w:rFonts w:ascii="PermianSerifTypeface" w:eastAsia="Arial Unicode MS" w:hAnsi="PermianSerifTypeface"/>
          <w:bCs/>
          <w:lang w:val="ro-RO"/>
        </w:rPr>
        <w:t>creditelor</w:t>
      </w:r>
      <w:r w:rsidR="00B11DF4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432E27" w:rsidRPr="00BE7F1E">
        <w:rPr>
          <w:rFonts w:ascii="PermianSerifTypeface" w:eastAsia="Arial Unicode MS" w:hAnsi="PermianSerifTypeface"/>
          <w:bCs/>
          <w:lang w:val="ro-RO"/>
        </w:rPr>
        <w:t>destinate</w:t>
      </w:r>
      <w:r w:rsidR="00B11DF4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186E3A" w:rsidRPr="00BE7F1E">
        <w:rPr>
          <w:rFonts w:ascii="PermianSerifTypeface" w:eastAsia="Arial Unicode MS" w:hAnsi="PermianSerifTypeface"/>
          <w:bCs/>
          <w:lang w:val="ro-RO"/>
        </w:rPr>
        <w:t>consumatorilor</w:t>
      </w:r>
      <w:r w:rsidRPr="00BE7F1E">
        <w:rPr>
          <w:rFonts w:ascii="PermianSerifTypeface" w:eastAsia="Arial Unicode MS" w:hAnsi="PermianSerifTypeface"/>
          <w:bCs/>
          <w:lang w:val="ro-RO"/>
        </w:rPr>
        <w:t>.</w:t>
      </w:r>
    </w:p>
    <w:p w14:paraId="6CD02DB1" w14:textId="7B366A13" w:rsidR="00923030" w:rsidRPr="00BE7F1E" w:rsidRDefault="00A709F6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 xml:space="preserve">Creditorul </w:t>
      </w:r>
      <w:r w:rsidR="003940CA" w:rsidRPr="00BE7F1E">
        <w:rPr>
          <w:rFonts w:ascii="PermianSerifTypeface" w:eastAsia="Arial Unicode MS" w:hAnsi="PermianSerifTypeface"/>
          <w:bCs/>
          <w:lang w:val="ro-RO"/>
        </w:rPr>
        <w:t>aplică</w:t>
      </w:r>
      <w:r w:rsidR="00287F9A" w:rsidRPr="00BE7F1E">
        <w:rPr>
          <w:rFonts w:ascii="PermianSerifTypeface" w:eastAsia="Arial Unicode MS" w:hAnsi="PermianSerifTypeface"/>
          <w:bCs/>
          <w:lang w:val="ro-RO"/>
        </w:rPr>
        <w:t>,</w:t>
      </w:r>
      <w:r w:rsidR="0032226F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2972B5" w:rsidRPr="00BE7F1E">
        <w:rPr>
          <w:rFonts w:ascii="PermianSerifTypeface" w:eastAsia="Arial Unicode MS" w:hAnsi="PermianSerifTypeface"/>
          <w:bCs/>
          <w:lang w:val="ro-RO"/>
        </w:rPr>
        <w:t>pe bază individuală</w:t>
      </w:r>
      <w:r w:rsidR="00287F9A" w:rsidRPr="00BE7F1E">
        <w:rPr>
          <w:rFonts w:ascii="PermianSerifTypeface" w:eastAsia="Arial Unicode MS" w:hAnsi="PermianSerifTypeface"/>
          <w:bCs/>
          <w:lang w:val="ro-RO"/>
        </w:rPr>
        <w:t>,</w:t>
      </w:r>
      <w:r w:rsidR="002972B5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bCs/>
          <w:lang w:val="ro-RO"/>
        </w:rPr>
        <w:t>prevederile</w:t>
      </w:r>
      <w:r w:rsidR="0032226F" w:rsidRPr="00BE7F1E">
        <w:rPr>
          <w:rFonts w:ascii="PermianSerifTypeface" w:eastAsia="Arial Unicode MS" w:hAnsi="PermianSerifTypeface"/>
          <w:bCs/>
          <w:lang w:val="ro-RO"/>
        </w:rPr>
        <w:t xml:space="preserve"> prezentul</w:t>
      </w:r>
      <w:r w:rsidRPr="00BE7F1E">
        <w:rPr>
          <w:rFonts w:ascii="PermianSerifTypeface" w:eastAsia="Arial Unicode MS" w:hAnsi="PermianSerifTypeface"/>
          <w:bCs/>
          <w:lang w:val="ro-RO"/>
        </w:rPr>
        <w:t>ui</w:t>
      </w:r>
      <w:r w:rsidR="0032226F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7916DD">
        <w:rPr>
          <w:rFonts w:ascii="PermianSerifTypeface" w:eastAsia="Arial Unicode MS" w:hAnsi="PermianSerifTypeface"/>
          <w:bCs/>
          <w:lang w:val="ro-RO"/>
        </w:rPr>
        <w:t>R</w:t>
      </w:r>
      <w:r w:rsidR="0032226F" w:rsidRPr="007916DD">
        <w:rPr>
          <w:rFonts w:ascii="PermianSerifTypeface" w:eastAsia="Arial Unicode MS" w:hAnsi="PermianSerifTypeface"/>
          <w:bCs/>
          <w:lang w:val="ro-RO"/>
        </w:rPr>
        <w:t>egula</w:t>
      </w:r>
      <w:r w:rsidR="0032226F" w:rsidRPr="00BE7F1E">
        <w:rPr>
          <w:rFonts w:ascii="PermianSerifTypeface" w:eastAsia="Arial Unicode MS" w:hAnsi="PermianSerifTypeface"/>
          <w:bCs/>
          <w:lang w:val="ro-RO"/>
        </w:rPr>
        <w:t>ment</w:t>
      </w:r>
      <w:r w:rsidR="002972B5" w:rsidRPr="00BE7F1E">
        <w:rPr>
          <w:rFonts w:ascii="PermianSerifTypeface" w:eastAsia="Arial Unicode MS" w:hAnsi="PermianSerifTypeface"/>
          <w:bCs/>
          <w:lang w:val="ro-RO"/>
        </w:rPr>
        <w:t>.</w:t>
      </w:r>
      <w:r w:rsidR="0032226F" w:rsidRPr="00BE7F1E">
        <w:rPr>
          <w:rFonts w:ascii="PermianSerifTypeface" w:hAnsi="PermianSerifTypeface"/>
          <w:lang w:val="ro-RO"/>
        </w:rPr>
        <w:t xml:space="preserve"> </w:t>
      </w:r>
    </w:p>
    <w:p w14:paraId="374EF8DA" w14:textId="336CE966" w:rsidR="00420A53" w:rsidRPr="00BE7F1E" w:rsidRDefault="00420A53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 xml:space="preserve">Prevederile prezentului </w:t>
      </w:r>
      <w:r w:rsidR="007916DD">
        <w:rPr>
          <w:rFonts w:ascii="PermianSerifTypeface" w:eastAsia="Arial Unicode MS" w:hAnsi="PermianSerifTypeface"/>
          <w:bCs/>
          <w:lang w:val="ro-RO"/>
        </w:rPr>
        <w:t>R</w:t>
      </w:r>
      <w:r w:rsidRPr="007916DD">
        <w:rPr>
          <w:rFonts w:ascii="PermianSerifTypeface" w:eastAsia="Arial Unicode MS" w:hAnsi="PermianSerifTypeface"/>
          <w:bCs/>
          <w:lang w:val="ro-RO"/>
        </w:rPr>
        <w:t>egu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lament se aplică contractelor de credit </w:t>
      </w:r>
      <w:r w:rsidR="002A5BBC" w:rsidRPr="00BE7F1E">
        <w:rPr>
          <w:rFonts w:ascii="PermianSerifTypeface" w:eastAsia="Arial Unicode MS" w:hAnsi="PermianSerifTypeface"/>
          <w:bCs/>
          <w:lang w:val="ro-RO"/>
        </w:rPr>
        <w:t>pentru consumatori</w:t>
      </w:r>
      <w:r w:rsidR="005412E4" w:rsidRPr="00BE7F1E">
        <w:rPr>
          <w:rFonts w:ascii="PermianSerifTypeface" w:eastAsia="Arial Unicode MS" w:hAnsi="PermianSerifTypeface"/>
          <w:bCs/>
          <w:lang w:val="ro-RO"/>
        </w:rPr>
        <w:t>.</w:t>
      </w:r>
    </w:p>
    <w:p w14:paraId="73236063" w14:textId="4AB6F241" w:rsidR="00BE2B56" w:rsidRPr="00BE7F1E" w:rsidRDefault="00BE2B56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eastAsia="Arial Unicode MS" w:hAnsi="PermianSerifTypeface"/>
          <w:bCs/>
          <w:lang w:val="ro-RO"/>
        </w:rPr>
      </w:pPr>
      <w:bookmarkStart w:id="0" w:name="_Hlk103267371"/>
      <w:r w:rsidRPr="00BE7F1E">
        <w:rPr>
          <w:rFonts w:ascii="PermianSerifTypeface" w:eastAsia="Arial Unicode MS" w:hAnsi="PermianSerifTypeface"/>
          <w:bCs/>
          <w:lang w:val="ro-RO"/>
        </w:rPr>
        <w:t xml:space="preserve">Prevederile </w:t>
      </w:r>
      <w:r w:rsidR="00EB3AAB" w:rsidRPr="00BE7F1E">
        <w:rPr>
          <w:rFonts w:ascii="PermianSerifTypeface" w:eastAsia="Arial Unicode MS" w:hAnsi="PermianSerifTypeface"/>
          <w:bCs/>
          <w:lang w:val="ro-RO"/>
        </w:rPr>
        <w:t xml:space="preserve">pct. </w:t>
      </w:r>
      <w:r w:rsidR="00E7271C" w:rsidRPr="00BE7F1E">
        <w:rPr>
          <w:rFonts w:ascii="PermianSerifTypeface" w:eastAsia="Arial Unicode MS" w:hAnsi="PermianSerifTypeface"/>
          <w:bCs/>
          <w:lang w:val="ro-RO"/>
        </w:rPr>
        <w:fldChar w:fldCharType="begin"/>
      </w:r>
      <w:r w:rsidR="00E7271C" w:rsidRPr="00BE7F1E">
        <w:rPr>
          <w:rFonts w:ascii="PermianSerifTypeface" w:eastAsia="Arial Unicode MS" w:hAnsi="PermianSerifTypeface"/>
          <w:bCs/>
          <w:lang w:val="ro-RO"/>
        </w:rPr>
        <w:instrText xml:space="preserve"> REF _Ref103242122 \r \h </w:instrText>
      </w:r>
      <w:r w:rsidR="00EA6274" w:rsidRPr="00BE7F1E">
        <w:rPr>
          <w:rFonts w:ascii="PermianSerifTypeface" w:eastAsia="Arial Unicode MS" w:hAnsi="PermianSerifTypeface"/>
          <w:bCs/>
          <w:lang w:val="ro-RO"/>
        </w:rPr>
        <w:instrText xml:space="preserve"> \* MERGEFORMAT </w:instrText>
      </w:r>
      <w:r w:rsidR="00E7271C" w:rsidRPr="00BE7F1E">
        <w:rPr>
          <w:rFonts w:ascii="PermianSerifTypeface" w:eastAsia="Arial Unicode MS" w:hAnsi="PermianSerifTypeface"/>
          <w:bCs/>
          <w:lang w:val="ro-RO"/>
        </w:rPr>
      </w:r>
      <w:r w:rsidR="00E7271C" w:rsidRPr="00BE7F1E">
        <w:rPr>
          <w:rFonts w:ascii="PermianSerifTypeface" w:eastAsia="Arial Unicode MS" w:hAnsi="PermianSerifTypeface"/>
          <w:bCs/>
          <w:lang w:val="ro-RO"/>
        </w:rPr>
        <w:fldChar w:fldCharType="separate"/>
      </w:r>
      <w:r w:rsidR="00E7271C" w:rsidRPr="00BE7F1E">
        <w:rPr>
          <w:rFonts w:ascii="PermianSerifTypeface" w:eastAsia="Arial Unicode MS" w:hAnsi="PermianSerifTypeface"/>
          <w:bCs/>
          <w:lang w:val="ro-RO"/>
        </w:rPr>
        <w:t>9</w:t>
      </w:r>
      <w:r w:rsidR="00E7271C" w:rsidRPr="00BE7F1E">
        <w:rPr>
          <w:rFonts w:ascii="PermianSerifTypeface" w:eastAsia="Arial Unicode MS" w:hAnsi="PermianSerifTypeface"/>
          <w:bCs/>
          <w:lang w:val="ro-RO"/>
        </w:rPr>
        <w:fldChar w:fldCharType="end"/>
      </w:r>
      <w:r w:rsidR="00EB3AAB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proofErr w:type="spellStart"/>
      <w:r w:rsidR="00EB3AAB" w:rsidRPr="00BE7F1E">
        <w:rPr>
          <w:rFonts w:ascii="PermianSerifTypeface" w:eastAsia="Arial Unicode MS" w:hAnsi="PermianSerifTypeface"/>
          <w:bCs/>
          <w:lang w:val="ro-RO"/>
        </w:rPr>
        <w:t>s</w:t>
      </w:r>
      <w:r w:rsidR="00B17810" w:rsidRPr="00BE7F1E">
        <w:rPr>
          <w:rFonts w:ascii="PermianSerifTypeface" w:eastAsia="Arial Unicode MS" w:hAnsi="PermianSerifTypeface"/>
          <w:bCs/>
          <w:lang w:val="ro-RO"/>
        </w:rPr>
        <w:t>u</w:t>
      </w:r>
      <w:r w:rsidR="00EB3AAB" w:rsidRPr="00BE7F1E">
        <w:rPr>
          <w:rFonts w:ascii="PermianSerifTypeface" w:eastAsia="Arial Unicode MS" w:hAnsi="PermianSerifTypeface"/>
          <w:bCs/>
          <w:lang w:val="ro-RO"/>
        </w:rPr>
        <w:t>bp</w:t>
      </w:r>
      <w:r w:rsidR="00B17810" w:rsidRPr="00BE7F1E">
        <w:rPr>
          <w:rFonts w:ascii="PermianSerifTypeface" w:eastAsia="Arial Unicode MS" w:hAnsi="PermianSerifTypeface"/>
          <w:bCs/>
          <w:lang w:val="ro-RO"/>
        </w:rPr>
        <w:t>ct</w:t>
      </w:r>
      <w:proofErr w:type="spellEnd"/>
      <w:r w:rsidR="00EB3AAB" w:rsidRPr="00BE7F1E">
        <w:rPr>
          <w:rFonts w:ascii="PermianSerifTypeface" w:eastAsia="Arial Unicode MS" w:hAnsi="PermianSerifTypeface"/>
          <w:bCs/>
          <w:lang w:val="ro-RO"/>
        </w:rPr>
        <w:t xml:space="preserve">. 6), 7), 8) </w:t>
      </w:r>
      <w:r w:rsidR="00EB3AAB" w:rsidRPr="00BE7F1E">
        <w:rPr>
          <w:rFonts w:ascii="PermianSerifTypeface" w:eastAsia="Arial Unicode MS" w:hAnsi="PermianSerifTypeface"/>
          <w:bCs/>
          <w:lang w:val="ro-MD"/>
        </w:rPr>
        <w:t>ș</w:t>
      </w:r>
      <w:r w:rsidR="00EB3AAB" w:rsidRPr="00BE7F1E">
        <w:rPr>
          <w:rFonts w:ascii="PermianSerifTypeface" w:eastAsia="Arial Unicode MS" w:hAnsi="PermianSerifTypeface"/>
          <w:bCs/>
          <w:lang w:val="ro-RO"/>
        </w:rPr>
        <w:t xml:space="preserve">i ale </w:t>
      </w:r>
      <w:r w:rsidR="005A5233" w:rsidRPr="00BE7F1E">
        <w:rPr>
          <w:rFonts w:ascii="PermianSerifTypeface" w:eastAsia="Arial Unicode MS" w:hAnsi="PermianSerifTypeface"/>
          <w:bCs/>
          <w:lang w:val="ro-RO"/>
        </w:rPr>
        <w:t>secțiunilor 3, 4 și 5</w:t>
      </w:r>
      <w:r w:rsidR="00F42AFE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F42AFE" w:rsidRPr="00BE7F1E">
        <w:rPr>
          <w:rFonts w:ascii="PermianSerifTypeface" w:eastAsia="Arial Unicode MS" w:hAnsi="PermianSerifTypeface"/>
          <w:bCs/>
          <w:lang w:val="ro-MD"/>
        </w:rPr>
        <w:t>din Capitolul III</w:t>
      </w:r>
      <w:r w:rsidR="005A5233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F42AFE" w:rsidRPr="00BE7F1E">
        <w:rPr>
          <w:rFonts w:ascii="PermianSerifTypeface" w:eastAsia="Arial Unicode MS" w:hAnsi="PermianSerifTypeface"/>
          <w:bCs/>
          <w:lang w:val="ro-RO"/>
        </w:rPr>
        <w:t>din</w:t>
      </w:r>
      <w:r w:rsidR="005A5233" w:rsidRPr="00BE7F1E">
        <w:rPr>
          <w:rFonts w:ascii="PermianSerifTypeface" w:eastAsia="Arial Unicode MS" w:hAnsi="PermianSerifTypeface"/>
          <w:bCs/>
          <w:lang w:val="ro-RO"/>
        </w:rPr>
        <w:t xml:space="preserve"> prezentul </w:t>
      </w:r>
      <w:r w:rsidR="00441E8C">
        <w:rPr>
          <w:rFonts w:ascii="PermianSerifTypeface" w:eastAsia="Arial Unicode MS" w:hAnsi="PermianSerifTypeface"/>
          <w:bCs/>
          <w:lang w:val="ro-RO"/>
        </w:rPr>
        <w:t>R</w:t>
      </w:r>
      <w:r w:rsidRPr="00BE7F1E">
        <w:rPr>
          <w:rFonts w:ascii="PermianSerifTypeface" w:eastAsia="Arial Unicode MS" w:hAnsi="PermianSerifTypeface"/>
          <w:bCs/>
          <w:lang w:val="ro-RO"/>
        </w:rPr>
        <w:t>egulament nu se aplică</w:t>
      </w:r>
      <w:bookmarkEnd w:id="0"/>
      <w:r w:rsidRPr="00BE7F1E">
        <w:rPr>
          <w:rFonts w:ascii="PermianSerifTypeface" w:eastAsia="Arial Unicode MS" w:hAnsi="PermianSerifTypeface"/>
          <w:bCs/>
          <w:lang w:val="ro-RO"/>
        </w:rPr>
        <w:t>:</w:t>
      </w:r>
    </w:p>
    <w:p w14:paraId="1EAC7C38" w14:textId="77777777" w:rsidR="00BE2B56" w:rsidRPr="00BE7F1E" w:rsidRDefault="00BE2B56" w:rsidP="00497793">
      <w:pPr>
        <w:numPr>
          <w:ilvl w:val="0"/>
          <w:numId w:val="5"/>
        </w:numPr>
        <w:ind w:left="709" w:hanging="284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>creditelor restructurate;</w:t>
      </w:r>
    </w:p>
    <w:p w14:paraId="3F2F0010" w14:textId="2B8DE3FD" w:rsidR="00BE2B56" w:rsidRPr="00BE7F1E" w:rsidRDefault="00910065" w:rsidP="00497793">
      <w:pPr>
        <w:numPr>
          <w:ilvl w:val="0"/>
          <w:numId w:val="5"/>
        </w:numPr>
        <w:ind w:left="709" w:hanging="284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>credit</w:t>
      </w:r>
      <w:r w:rsidR="00650EAA" w:rsidRPr="00BE7F1E">
        <w:rPr>
          <w:rFonts w:ascii="PermianSerifTypeface" w:eastAsia="Arial Unicode MS" w:hAnsi="PermianSerifTypeface"/>
          <w:bCs/>
          <w:lang w:val="ro-RO"/>
        </w:rPr>
        <w:t>elor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sub forma unei facilită</w:t>
      </w:r>
      <w:r w:rsidRPr="00BE7F1E">
        <w:rPr>
          <w:rFonts w:ascii="PermianSerifTypeface" w:eastAsia="Arial Unicode MS" w:hAnsi="PermianSerifTypeface"/>
          <w:bCs/>
          <w:lang w:val="ro-MD"/>
        </w:rPr>
        <w:t>ț</w:t>
      </w:r>
      <w:r w:rsidRPr="00BE7F1E">
        <w:rPr>
          <w:rFonts w:ascii="PermianSerifTypeface" w:eastAsia="Arial Unicode MS" w:hAnsi="PermianSerifTypeface"/>
          <w:bCs/>
          <w:lang w:val="ro-RO"/>
        </w:rPr>
        <w:t>i de tip “descoperit de cont” (</w:t>
      </w:r>
      <w:proofErr w:type="spellStart"/>
      <w:r w:rsidRPr="00BE7F1E">
        <w:rPr>
          <w:rFonts w:ascii="PermianSerifTypeface" w:eastAsia="Arial Unicode MS" w:hAnsi="PermianSerifTypeface"/>
          <w:bCs/>
          <w:lang w:val="ro-RO"/>
        </w:rPr>
        <w:t>overdraft</w:t>
      </w:r>
      <w:proofErr w:type="spellEnd"/>
      <w:r w:rsidRPr="00BE7F1E">
        <w:rPr>
          <w:rFonts w:ascii="PermianSerifTypeface" w:eastAsia="Arial Unicode MS" w:hAnsi="PermianSerifTypeface"/>
          <w:bCs/>
          <w:lang w:val="ro-RO"/>
        </w:rPr>
        <w:t>) și în baza cărora creditul trebuie rambursat în termen de o lună;</w:t>
      </w:r>
    </w:p>
    <w:p w14:paraId="4851162C" w14:textId="2A2ADE6F" w:rsidR="00586B60" w:rsidRPr="00BE7F1E" w:rsidRDefault="00586B60" w:rsidP="00497793">
      <w:pPr>
        <w:numPr>
          <w:ilvl w:val="0"/>
          <w:numId w:val="5"/>
        </w:numPr>
        <w:ind w:left="709" w:hanging="284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 xml:space="preserve">creditelor garantate integral pe întreaga perioadă de derulare cu mijloace </w:t>
      </w:r>
      <w:proofErr w:type="spellStart"/>
      <w:r w:rsidRPr="00BE7F1E">
        <w:rPr>
          <w:rFonts w:ascii="PermianSerifTypeface" w:eastAsia="Arial Unicode MS" w:hAnsi="PermianSerifTypeface"/>
          <w:bCs/>
          <w:lang w:val="ro-RO"/>
        </w:rPr>
        <w:t>băneşti</w:t>
      </w:r>
      <w:proofErr w:type="spellEnd"/>
      <w:r w:rsidRPr="00BE7F1E">
        <w:rPr>
          <w:rFonts w:ascii="PermianSerifTypeface" w:eastAsia="Arial Unicode MS" w:hAnsi="PermianSerifTypeface"/>
          <w:bCs/>
          <w:lang w:val="ro-RO"/>
        </w:rPr>
        <w:t xml:space="preserve"> (depozit </w:t>
      </w:r>
      <w:proofErr w:type="spellStart"/>
      <w:r w:rsidRPr="00BE7F1E">
        <w:rPr>
          <w:rFonts w:ascii="PermianSerifTypeface" w:eastAsia="Arial Unicode MS" w:hAnsi="PermianSerifTypeface"/>
          <w:bCs/>
          <w:lang w:val="ro-RO"/>
        </w:rPr>
        <w:t>garanţie</w:t>
      </w:r>
      <w:proofErr w:type="spellEnd"/>
      <w:r w:rsidRPr="00BE7F1E">
        <w:rPr>
          <w:rFonts w:ascii="PermianSerifTypeface" w:eastAsia="Arial Unicode MS" w:hAnsi="PermianSerifTypeface"/>
          <w:bCs/>
          <w:lang w:val="ro-RO"/>
        </w:rPr>
        <w:t>) la o bancă;</w:t>
      </w:r>
    </w:p>
    <w:p w14:paraId="3FC9BD47" w14:textId="77770A6F" w:rsidR="005A6FAE" w:rsidRPr="00BE7F1E" w:rsidRDefault="00520368" w:rsidP="00497793">
      <w:pPr>
        <w:numPr>
          <w:ilvl w:val="0"/>
          <w:numId w:val="5"/>
        </w:numPr>
        <w:ind w:left="709" w:hanging="284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 xml:space="preserve">creditelor </w:t>
      </w:r>
      <w:r w:rsidR="002935A2" w:rsidRPr="00BE7F1E">
        <w:rPr>
          <w:rFonts w:ascii="PermianSerifTypeface" w:eastAsia="Arial Unicode MS" w:hAnsi="PermianSerifTypeface"/>
          <w:bCs/>
          <w:lang w:val="ro-RO"/>
        </w:rPr>
        <w:t>preluate de către terți</w:t>
      </w:r>
      <w:r w:rsidR="005A6FAE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645721" w:rsidRPr="00BE7F1E">
        <w:rPr>
          <w:rFonts w:ascii="PermianSerifTypeface" w:eastAsia="Arial Unicode MS" w:hAnsi="PermianSerifTypeface"/>
          <w:bCs/>
          <w:lang w:val="ro-RO"/>
        </w:rPr>
        <w:t>în caz de</w:t>
      </w:r>
      <w:r w:rsidR="005A6FAE" w:rsidRPr="00BE7F1E">
        <w:rPr>
          <w:rFonts w:ascii="PermianSerifTypeface" w:eastAsia="Arial Unicode MS" w:hAnsi="PermianSerifTypeface"/>
          <w:bCs/>
          <w:lang w:val="ro-RO"/>
        </w:rPr>
        <w:t xml:space="preserve"> deces</w:t>
      </w:r>
      <w:r w:rsidR="00645721" w:rsidRPr="00BE7F1E">
        <w:rPr>
          <w:rFonts w:ascii="PermianSerifTypeface" w:eastAsia="Arial Unicode MS" w:hAnsi="PermianSerifTypeface"/>
          <w:bCs/>
          <w:lang w:val="ro-RO"/>
        </w:rPr>
        <w:t xml:space="preserve"> al</w:t>
      </w:r>
      <w:r w:rsidR="005A6FAE" w:rsidRPr="00BE7F1E">
        <w:rPr>
          <w:rFonts w:ascii="PermianSerifTypeface" w:eastAsia="Arial Unicode MS" w:hAnsi="PermianSerifTypeface"/>
          <w:bCs/>
          <w:lang w:val="ro-RO"/>
        </w:rPr>
        <w:t xml:space="preserve"> debitorului</w:t>
      </w:r>
      <w:r w:rsidR="00645721" w:rsidRPr="00BE7F1E">
        <w:rPr>
          <w:rFonts w:ascii="PermianSerifTypeface" w:eastAsia="Arial Unicode MS" w:hAnsi="PermianSerifTypeface"/>
          <w:bCs/>
          <w:lang w:val="ro-RO"/>
        </w:rPr>
        <w:t xml:space="preserve"> sau partaj</w:t>
      </w:r>
      <w:r w:rsidR="005A6FAE" w:rsidRPr="00BE7F1E">
        <w:rPr>
          <w:rFonts w:ascii="PermianSerifTypeface" w:eastAsia="Arial Unicode MS" w:hAnsi="PermianSerifTypeface"/>
          <w:bCs/>
          <w:lang w:val="ro-RO"/>
        </w:rPr>
        <w:t>;</w:t>
      </w:r>
    </w:p>
    <w:p w14:paraId="4E9B4EC0" w14:textId="77777777" w:rsidR="008030FD" w:rsidRPr="00BE7F1E" w:rsidRDefault="00910065" w:rsidP="00497793">
      <w:pPr>
        <w:numPr>
          <w:ilvl w:val="0"/>
          <w:numId w:val="5"/>
        </w:numPr>
        <w:ind w:left="709" w:hanging="284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>credit</w:t>
      </w:r>
      <w:r w:rsidR="00650EAA" w:rsidRPr="00BE7F1E">
        <w:rPr>
          <w:rFonts w:ascii="PermianSerifTypeface" w:eastAsia="Arial Unicode MS" w:hAnsi="PermianSerifTypeface"/>
          <w:bCs/>
          <w:lang w:val="ro-RO"/>
        </w:rPr>
        <w:t>elor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care sunt rezultatul unei hotărâri pronunțate de o instanță judecătorească sau de o altă autoritate instituită conform legii</w:t>
      </w:r>
      <w:r w:rsidR="008030FD" w:rsidRPr="00BE7F1E">
        <w:rPr>
          <w:rFonts w:ascii="PermianSerifTypeface" w:eastAsia="Arial Unicode MS" w:hAnsi="PermianSerifTypeface"/>
          <w:bCs/>
          <w:lang w:val="ro-RO"/>
        </w:rPr>
        <w:t>;</w:t>
      </w:r>
    </w:p>
    <w:p w14:paraId="269C731A" w14:textId="77777777" w:rsidR="00426E62" w:rsidRPr="00BE7F1E" w:rsidRDefault="008030FD" w:rsidP="00497793">
      <w:pPr>
        <w:numPr>
          <w:ilvl w:val="0"/>
          <w:numId w:val="5"/>
        </w:numPr>
        <w:ind w:left="709" w:hanging="284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>contractelor de credit privind amânarea, cu titlu gratuit, a plății unei datorii existente;</w:t>
      </w:r>
    </w:p>
    <w:p w14:paraId="7F0E48B6" w14:textId="5DFA3DF6" w:rsidR="00910065" w:rsidRPr="00BE7F1E" w:rsidRDefault="00D222DA" w:rsidP="00497793">
      <w:pPr>
        <w:numPr>
          <w:ilvl w:val="0"/>
          <w:numId w:val="5"/>
        </w:numPr>
        <w:ind w:left="709" w:hanging="284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>contracte</w:t>
      </w:r>
      <w:r w:rsidR="00C0206E">
        <w:rPr>
          <w:rFonts w:ascii="PermianSerifTypeface" w:eastAsia="Arial Unicode MS" w:hAnsi="PermianSerifTypeface"/>
          <w:bCs/>
          <w:lang w:val="ro-RO"/>
        </w:rPr>
        <w:t>lor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de credit referitoare la creditele acordate unui public restr</w:t>
      </w:r>
      <w:r w:rsidR="00DB50D1" w:rsidRPr="00BE7F1E">
        <w:rPr>
          <w:rFonts w:ascii="PermianSerifTypeface" w:eastAsia="Arial Unicode MS" w:hAnsi="PermianSerifTypeface"/>
          <w:bCs/>
          <w:lang w:val="ro-RO"/>
        </w:rPr>
        <w:t>â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ns în baza unei </w:t>
      </w:r>
      <w:proofErr w:type="spellStart"/>
      <w:r w:rsidRPr="00BE7F1E">
        <w:rPr>
          <w:rFonts w:ascii="PermianSerifTypeface" w:eastAsia="Arial Unicode MS" w:hAnsi="PermianSerifTypeface"/>
          <w:bCs/>
          <w:lang w:val="ro-RO"/>
        </w:rPr>
        <w:t>dispoziţii</w:t>
      </w:r>
      <w:proofErr w:type="spellEnd"/>
      <w:r w:rsidRPr="00BE7F1E">
        <w:rPr>
          <w:rFonts w:ascii="PermianSerifTypeface" w:eastAsia="Arial Unicode MS" w:hAnsi="PermianSerifTypeface"/>
          <w:bCs/>
          <w:lang w:val="ro-RO"/>
        </w:rPr>
        <w:t xml:space="preserve"> legale de interes </w:t>
      </w:r>
      <w:r w:rsidR="008030FD" w:rsidRPr="00BE7F1E">
        <w:rPr>
          <w:rFonts w:ascii="PermianSerifTypeface" w:eastAsia="Arial Unicode MS" w:hAnsi="PermianSerifTypeface"/>
          <w:bCs/>
          <w:lang w:val="ro-RO"/>
        </w:rPr>
        <w:t>general, la o rată a dobânzii mai mică decât cea practicată în mod obișnuit pe piață sau fără dobândă, sau în condiții care s</w:t>
      </w:r>
      <w:r w:rsidR="00C0206E">
        <w:rPr>
          <w:rFonts w:ascii="PermianSerifTypeface" w:eastAsia="Arial Unicode MS" w:hAnsi="PermianSerifTypeface"/>
          <w:bCs/>
          <w:lang w:val="ro-RO"/>
        </w:rPr>
        <w:t>u</w:t>
      </w:r>
      <w:r w:rsidR="008030FD" w:rsidRPr="00BE7F1E">
        <w:rPr>
          <w:rFonts w:ascii="PermianSerifTypeface" w:eastAsia="Arial Unicode MS" w:hAnsi="PermianSerifTypeface"/>
          <w:bCs/>
          <w:lang w:val="ro-RO"/>
        </w:rPr>
        <w:t>nt mai avantajoase pentru consumator decât cele obișnuite de pe piață și cu dobânzi mai mici decât cele practicate în mod obișnuit pe piață.</w:t>
      </w:r>
    </w:p>
    <w:p w14:paraId="7062BA5E" w14:textId="35091D0F" w:rsidR="00260F8D" w:rsidRPr="00BE7F1E" w:rsidRDefault="00260F8D" w:rsidP="00EA6274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 </w:t>
      </w:r>
      <w:r w:rsidR="00F06784" w:rsidRPr="00BE7F1E">
        <w:rPr>
          <w:rFonts w:ascii="PermianSerifTypeface" w:hAnsi="PermianSerifTypeface"/>
          <w:lang w:val="ro-RO"/>
        </w:rPr>
        <w:t xml:space="preserve">Persoana fizică căreia urmează să i se acorde credit are calitatea de consumator, dacă creditorul nu a obținut </w:t>
      </w:r>
      <w:r w:rsidRPr="00BE7F1E">
        <w:rPr>
          <w:rFonts w:ascii="PermianSerifTypeface" w:hAnsi="PermianSerifTypeface"/>
          <w:lang w:val="ro-RO"/>
        </w:rPr>
        <w:t xml:space="preserve">documente care </w:t>
      </w:r>
      <w:r w:rsidR="00B32177" w:rsidRPr="00BE7F1E">
        <w:rPr>
          <w:rFonts w:ascii="PermianSerifTypeface" w:hAnsi="PermianSerifTypeface"/>
          <w:lang w:val="ro-RO"/>
        </w:rPr>
        <w:t>confirmă</w:t>
      </w:r>
      <w:r w:rsidRPr="00BE7F1E">
        <w:rPr>
          <w:rFonts w:ascii="PermianSerifTypeface" w:hAnsi="PermianSerifTypeface"/>
          <w:lang w:val="ro-RO"/>
        </w:rPr>
        <w:t xml:space="preserve"> desfășurarea </w:t>
      </w:r>
      <w:r w:rsidR="00F06784" w:rsidRPr="00BE7F1E">
        <w:rPr>
          <w:rFonts w:ascii="PermianSerifTypeface" w:hAnsi="PermianSerifTypeface"/>
          <w:lang w:val="ro-RO"/>
        </w:rPr>
        <w:t xml:space="preserve">de către aceasta a </w:t>
      </w:r>
      <w:r w:rsidRPr="00BE7F1E">
        <w:rPr>
          <w:rFonts w:ascii="PermianSerifTypeface" w:hAnsi="PermianSerifTypeface"/>
          <w:lang w:val="ro-RO"/>
        </w:rPr>
        <w:t xml:space="preserve">activității de întreprinzător sau profesionale </w:t>
      </w:r>
      <w:r w:rsidR="00A34F27" w:rsidRPr="00BE7F1E">
        <w:rPr>
          <w:rFonts w:ascii="PermianSerifTypeface" w:hAnsi="PermianSerifTypeface"/>
          <w:lang w:val="ro-RO"/>
        </w:rPr>
        <w:t xml:space="preserve">conform definiției din pct. 7 </w:t>
      </w:r>
      <w:proofErr w:type="spellStart"/>
      <w:r w:rsidR="003C3FFC" w:rsidRPr="00BE7F1E">
        <w:rPr>
          <w:rFonts w:ascii="PermianSerifTypeface" w:hAnsi="PermianSerifTypeface"/>
          <w:lang w:val="ro-RO"/>
        </w:rPr>
        <w:t>subpct</w:t>
      </w:r>
      <w:proofErr w:type="spellEnd"/>
      <w:r w:rsidR="00A34F27" w:rsidRPr="00BE7F1E">
        <w:rPr>
          <w:rFonts w:ascii="PermianSerifTypeface" w:hAnsi="PermianSerifTypeface"/>
          <w:lang w:val="ro-RO"/>
        </w:rPr>
        <w:t xml:space="preserve">. 13), </w:t>
      </w:r>
      <w:r w:rsidRPr="00BE7F1E">
        <w:rPr>
          <w:rFonts w:ascii="PermianSerifTypeface" w:hAnsi="PermianSerifTypeface"/>
          <w:lang w:val="ro-RO"/>
        </w:rPr>
        <w:t xml:space="preserve">în a cărui scop se solicită creditul. </w:t>
      </w:r>
    </w:p>
    <w:p w14:paraId="373666C8" w14:textId="77777777" w:rsidR="0032226F" w:rsidRPr="00BE7F1E" w:rsidRDefault="00997180" w:rsidP="00497793">
      <w:pPr>
        <w:autoSpaceDE w:val="0"/>
        <w:autoSpaceDN w:val="0"/>
        <w:adjustRightInd w:val="0"/>
        <w:spacing w:before="240" w:after="240"/>
        <w:rPr>
          <w:rFonts w:ascii="PermianSerifTypeface" w:hAnsi="PermianSerifTypeface"/>
          <w:lang w:val="ro-RO" w:eastAsia="ru-RU"/>
        </w:rPr>
      </w:pPr>
      <w:r w:rsidRPr="00BE7F1E">
        <w:rPr>
          <w:rFonts w:ascii="PermianSerifTypeface" w:hAnsi="PermianSerifTypeface"/>
          <w:b/>
          <w:bCs/>
          <w:lang w:val="ro-RO"/>
        </w:rPr>
        <w:t xml:space="preserve">Capitolul </w:t>
      </w:r>
      <w:r w:rsidR="00AB4C6B" w:rsidRPr="00BE7F1E">
        <w:rPr>
          <w:rFonts w:ascii="PermianSerifTypeface" w:hAnsi="PermianSerifTypeface"/>
          <w:b/>
          <w:bCs/>
          <w:lang w:val="ro-RO"/>
        </w:rPr>
        <w:t>II</w:t>
      </w:r>
      <w:r w:rsidR="0032226F" w:rsidRPr="00BE7F1E">
        <w:rPr>
          <w:rFonts w:ascii="PermianSerifTypeface" w:hAnsi="PermianSerifTypeface"/>
          <w:b/>
          <w:bCs/>
          <w:lang w:val="ro-RO"/>
        </w:rPr>
        <w:t xml:space="preserve">. </w:t>
      </w:r>
      <w:r w:rsidR="009341FD" w:rsidRPr="00BE7F1E">
        <w:rPr>
          <w:rFonts w:ascii="PermianSerifTypeface" w:hAnsi="PermianSerifTypeface"/>
          <w:b/>
          <w:bCs/>
          <w:lang w:val="ro-RO"/>
        </w:rPr>
        <w:t>DEFINIȚII</w:t>
      </w:r>
      <w:r w:rsidR="009341FD" w:rsidRPr="00BE7F1E">
        <w:rPr>
          <w:rFonts w:ascii="PermianSerifTypeface" w:hAnsi="PermianSerifTypeface"/>
          <w:lang w:val="ro-RO" w:eastAsia="ru-RU"/>
        </w:rPr>
        <w:t xml:space="preserve"> </w:t>
      </w:r>
    </w:p>
    <w:p w14:paraId="3E99EB86" w14:textId="43FAD5A3" w:rsidR="00404A88" w:rsidRPr="00BE7F1E" w:rsidRDefault="00832EC0" w:rsidP="00EA6274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0" w:firstLine="0"/>
        <w:rPr>
          <w:rFonts w:ascii="PermianSerifTypeface" w:eastAsia="Arial Unicode MS" w:hAnsi="PermianSerifTypeface"/>
          <w:bCs/>
          <w:lang w:val="ro-RO"/>
        </w:rPr>
      </w:pPr>
      <w:bookmarkStart w:id="1" w:name="_Ref79589219"/>
      <w:r w:rsidRPr="00BE7F1E">
        <w:rPr>
          <w:rFonts w:ascii="PermianSerifTypeface" w:eastAsia="Arial Unicode MS" w:hAnsi="PermianSerifTypeface"/>
          <w:bCs/>
          <w:lang w:val="ro-RO"/>
        </w:rPr>
        <w:t xml:space="preserve">Termenii și expresiile utilizate în prezentul </w:t>
      </w:r>
      <w:r w:rsidR="007916DD">
        <w:rPr>
          <w:rFonts w:ascii="PermianSerifTypeface" w:eastAsia="Arial Unicode MS" w:hAnsi="PermianSerifTypeface"/>
          <w:bCs/>
          <w:lang w:val="ro-RO"/>
        </w:rPr>
        <w:t>R</w:t>
      </w:r>
      <w:r w:rsidRPr="007916DD">
        <w:rPr>
          <w:rFonts w:ascii="PermianSerifTypeface" w:eastAsia="Arial Unicode MS" w:hAnsi="PermianSerifTypeface"/>
          <w:bCs/>
          <w:lang w:val="ro-RO"/>
        </w:rPr>
        <w:t>eg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ulament au semnificația prevăzută în Legea nr.202/2017 privind activitatea băncilor (în continuare – Legea nr.202/2017), </w:t>
      </w:r>
      <w:r w:rsidR="00426E62" w:rsidRPr="00BE7F1E">
        <w:rPr>
          <w:rFonts w:ascii="PermianSerifTypeface" w:hAnsi="PermianSerifTypeface"/>
          <w:bCs/>
          <w:lang w:val="ro-MD"/>
        </w:rPr>
        <w:t xml:space="preserve">Legea nr.1/2018 cu privire la organizațiile de creditare nebancară (în continuare – Legea nr.1/2018), </w:t>
      </w:r>
      <w:r w:rsidR="00F3682B" w:rsidRPr="00BE7F1E">
        <w:rPr>
          <w:rFonts w:ascii="PermianSerifTypeface" w:eastAsia="Arial Unicode MS" w:hAnsi="PermianSerifTypeface"/>
          <w:bCs/>
          <w:lang w:val="ro-RO"/>
        </w:rPr>
        <w:t xml:space="preserve">Legea </w:t>
      </w:r>
      <w:r w:rsidR="00456B06" w:rsidRPr="00BE7F1E">
        <w:rPr>
          <w:rFonts w:ascii="PermianSerifTypeface" w:eastAsia="Arial Unicode MS" w:hAnsi="PermianSerifTypeface"/>
          <w:bCs/>
          <w:lang w:val="ro-RO"/>
        </w:rPr>
        <w:t>nr.</w:t>
      </w:r>
      <w:r w:rsidR="00F3682B" w:rsidRPr="00BE7F1E">
        <w:rPr>
          <w:rFonts w:ascii="PermianSerifTypeface" w:eastAsia="Arial Unicode MS" w:hAnsi="PermianSerifTypeface"/>
          <w:bCs/>
          <w:lang w:val="ro-RO"/>
        </w:rPr>
        <w:t xml:space="preserve">202/2013 privind contractele de credit </w:t>
      </w:r>
      <w:r w:rsidR="00F3682B" w:rsidRPr="00BE7F1E">
        <w:rPr>
          <w:rFonts w:ascii="PermianSerifTypeface" w:eastAsia="Arial Unicode MS" w:hAnsi="PermianSerifTypeface"/>
          <w:bCs/>
          <w:lang w:val="ro-RO"/>
        </w:rPr>
        <w:lastRenderedPageBreak/>
        <w:t>pentru consumatori (în continuare – Legea nr.202/2013)</w:t>
      </w:r>
      <w:r w:rsidR="00A96493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și în actele normative </w:t>
      </w:r>
      <w:r w:rsidR="00C404F9" w:rsidRPr="00BE7F1E">
        <w:rPr>
          <w:rFonts w:ascii="PermianSerifTypeface" w:eastAsia="Arial Unicode MS" w:hAnsi="PermianSerifTypeface"/>
          <w:bCs/>
          <w:lang w:val="ro-RO"/>
        </w:rPr>
        <w:t xml:space="preserve">adoptate de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BNM </w:t>
      </w:r>
      <w:r w:rsidR="00C404F9" w:rsidRPr="00BE7F1E">
        <w:rPr>
          <w:rFonts w:ascii="PermianSerifTypeface" w:eastAsia="Arial Unicode MS" w:hAnsi="PermianSerifTypeface"/>
          <w:bCs/>
          <w:lang w:val="ro-RO"/>
        </w:rPr>
        <w:t xml:space="preserve">și CNPF </w:t>
      </w:r>
      <w:r w:rsidRPr="00BE7F1E">
        <w:rPr>
          <w:rFonts w:ascii="PermianSerifTypeface" w:eastAsia="Arial Unicode MS" w:hAnsi="PermianSerifTypeface"/>
          <w:bCs/>
          <w:lang w:val="ro-RO"/>
        </w:rPr>
        <w:t>în aplicarea Legii nr.202/2017</w:t>
      </w:r>
      <w:r w:rsidR="00426E62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8D156D" w:rsidRPr="00BE7F1E">
        <w:rPr>
          <w:rFonts w:ascii="PermianSerifTypeface" w:eastAsia="Arial Unicode MS" w:hAnsi="PermianSerifTypeface"/>
          <w:bCs/>
          <w:lang w:val="ro-RO"/>
        </w:rPr>
        <w:t>și Legii nr.1/2018.</w:t>
      </w:r>
      <w:bookmarkEnd w:id="1"/>
    </w:p>
    <w:p w14:paraId="42D163F7" w14:textId="1580EB83" w:rsidR="0032226F" w:rsidRPr="00BE7F1E" w:rsidRDefault="0032226F" w:rsidP="00EA6274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0" w:firstLine="0"/>
        <w:rPr>
          <w:rFonts w:ascii="PermianSerifTypeface" w:eastAsia="Arial Unicode MS" w:hAnsi="PermianSerifTypeface"/>
          <w:bCs/>
          <w:lang w:val="ro-RO"/>
        </w:rPr>
      </w:pPr>
      <w:bookmarkStart w:id="2" w:name="_Ref85528961"/>
      <w:r w:rsidRPr="00BE7F1E">
        <w:rPr>
          <w:rFonts w:ascii="PermianSerifTypeface" w:eastAsia="Arial Unicode MS" w:hAnsi="PermianSerifTypeface"/>
          <w:bCs/>
          <w:color w:val="000000"/>
          <w:lang w:val="ro-RO"/>
        </w:rPr>
        <w:t xml:space="preserve">În sensul prezentului </w:t>
      </w:r>
      <w:r w:rsidR="00441E8C">
        <w:rPr>
          <w:rFonts w:ascii="PermianSerifTypeface" w:eastAsia="Arial Unicode MS" w:hAnsi="PermianSerifTypeface"/>
          <w:bCs/>
          <w:color w:val="000000"/>
          <w:lang w:val="ro-RO"/>
        </w:rPr>
        <w:t>R</w:t>
      </w:r>
      <w:r w:rsidRPr="00BE7F1E">
        <w:rPr>
          <w:rFonts w:ascii="PermianSerifTypeface" w:eastAsia="Arial Unicode MS" w:hAnsi="PermianSerifTypeface"/>
          <w:bCs/>
          <w:color w:val="000000"/>
          <w:lang w:val="ro-RO"/>
        </w:rPr>
        <w:t>egulament, se aplică următoarele definiții:</w:t>
      </w:r>
      <w:bookmarkEnd w:id="2"/>
      <w:r w:rsidRPr="00BE7F1E">
        <w:rPr>
          <w:rFonts w:ascii="PermianSerifTypeface" w:eastAsia="Arial Unicode MS" w:hAnsi="PermianSerifTypeface"/>
          <w:bCs/>
          <w:color w:val="000000"/>
          <w:lang w:val="ro-RO"/>
        </w:rPr>
        <w:t xml:space="preserve"> </w:t>
      </w:r>
    </w:p>
    <w:p w14:paraId="0249A752" w14:textId="59F2CEFD" w:rsidR="00F134B2" w:rsidRPr="00BE7F1E" w:rsidRDefault="00287F9A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credit acordat </w:t>
      </w:r>
      <w:r w:rsidR="00C970E5" w:rsidRPr="00BE7F1E">
        <w:rPr>
          <w:rFonts w:ascii="PermianSerifTypeface" w:eastAsia="Arial Unicode MS" w:hAnsi="PermianSerifTypeface"/>
          <w:b/>
          <w:bCs/>
          <w:i/>
          <w:lang w:val="ro-RO"/>
        </w:rPr>
        <w:t>consumatorului</w:t>
      </w:r>
      <w:r w:rsidR="0032226F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502945" w:rsidRPr="00BE7F1E">
        <w:rPr>
          <w:rFonts w:ascii="PermianSerifTypeface" w:eastAsia="Arial Unicode MS" w:hAnsi="PermianSerifTypeface"/>
          <w:bCs/>
          <w:lang w:val="ro-RO"/>
        </w:rPr>
        <w:t xml:space="preserve">– credit acordat </w:t>
      </w:r>
      <w:r w:rsidR="00596BA2" w:rsidRPr="00BE7F1E">
        <w:rPr>
          <w:rFonts w:ascii="PermianSerifTypeface" w:eastAsia="Arial Unicode MS" w:hAnsi="PermianSerifTypeface"/>
          <w:bCs/>
          <w:lang w:val="ro-RO"/>
        </w:rPr>
        <w:t>în temeiul contractului de credit pe</w:t>
      </w:r>
      <w:r w:rsidR="00386CEA" w:rsidRPr="00BE7F1E">
        <w:rPr>
          <w:rFonts w:ascii="PermianSerifTypeface" w:eastAsia="Arial Unicode MS" w:hAnsi="PermianSerifTypeface"/>
          <w:bCs/>
          <w:lang w:val="ro-RO"/>
        </w:rPr>
        <w:t>n</w:t>
      </w:r>
      <w:r w:rsidR="00596BA2" w:rsidRPr="00BE7F1E">
        <w:rPr>
          <w:rFonts w:ascii="PermianSerifTypeface" w:eastAsia="Arial Unicode MS" w:hAnsi="PermianSerifTypeface"/>
          <w:bCs/>
          <w:lang w:val="ro-RO"/>
        </w:rPr>
        <w:t xml:space="preserve">tru </w:t>
      </w:r>
      <w:r w:rsidR="00502945" w:rsidRPr="00BE7F1E">
        <w:rPr>
          <w:rFonts w:ascii="PermianSerifTypeface" w:eastAsia="Arial Unicode MS" w:hAnsi="PermianSerifTypeface"/>
          <w:bCs/>
          <w:lang w:val="ro-RO"/>
        </w:rPr>
        <w:t>consumator</w:t>
      </w:r>
      <w:r w:rsidR="00596BA2" w:rsidRPr="00BE7F1E">
        <w:rPr>
          <w:rFonts w:ascii="PermianSerifTypeface" w:eastAsia="Arial Unicode MS" w:hAnsi="PermianSerifTypeface"/>
          <w:bCs/>
          <w:lang w:val="ro-RO"/>
        </w:rPr>
        <w:t>i</w:t>
      </w:r>
      <w:r w:rsidR="0032226F" w:rsidRPr="00BE7F1E">
        <w:rPr>
          <w:rFonts w:ascii="PermianSerifTypeface" w:eastAsia="Arial Unicode MS" w:hAnsi="PermianSerifTypeface"/>
          <w:bCs/>
          <w:lang w:val="ro-RO"/>
        </w:rPr>
        <w:t>;</w:t>
      </w:r>
    </w:p>
    <w:p w14:paraId="4E1E249B" w14:textId="6910AE8A" w:rsidR="0032226F" w:rsidRPr="00BE7F1E" w:rsidRDefault="00CA487C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i/>
          <w:iCs/>
          <w:lang w:val="ro-RO"/>
        </w:rPr>
        <w:t>credit de consum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7E7C37" w:rsidRPr="00BE7F1E">
        <w:rPr>
          <w:rFonts w:ascii="PermianSerifTypeface" w:eastAsia="Arial Unicode MS" w:hAnsi="PermianSerifTypeface"/>
          <w:bCs/>
          <w:lang w:val="ro-RO"/>
        </w:rPr>
        <w:t>–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credit acordat </w:t>
      </w:r>
      <w:r w:rsidR="003B571A" w:rsidRPr="00BE7F1E">
        <w:rPr>
          <w:rFonts w:ascii="PermianSerifTypeface" w:eastAsia="Arial Unicode MS" w:hAnsi="PermianSerifTypeface"/>
          <w:bCs/>
          <w:lang w:val="ro-RO"/>
        </w:rPr>
        <w:t>consumatorului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, altul decât cel </w:t>
      </w:r>
      <w:r w:rsidR="009D4782" w:rsidRPr="00BE7F1E">
        <w:rPr>
          <w:rFonts w:ascii="PermianSerifTypeface" w:eastAsia="Arial Unicode MS" w:hAnsi="PermianSerifTypeface"/>
          <w:bCs/>
          <w:lang w:val="ro-RO"/>
        </w:rPr>
        <w:t xml:space="preserve">clasificat </w:t>
      </w:r>
      <w:r w:rsidR="00C0206E">
        <w:rPr>
          <w:rFonts w:ascii="PermianSerifTypeface" w:eastAsia="Arial Unicode MS" w:hAnsi="PermianSerifTypeface"/>
          <w:bCs/>
          <w:lang w:val="ro-RO"/>
        </w:rPr>
        <w:t xml:space="preserve">drept </w:t>
      </w:r>
      <w:r w:rsidR="00182DFD" w:rsidRPr="00BE7F1E">
        <w:rPr>
          <w:rFonts w:ascii="PermianSerifTypeface" w:eastAsia="Arial Unicode MS" w:hAnsi="PermianSerifTypeface"/>
          <w:bCs/>
          <w:lang w:val="ro-RO"/>
        </w:rPr>
        <w:t xml:space="preserve">credit pentru </w:t>
      </w:r>
      <w:r w:rsidR="009D4782" w:rsidRPr="00BE7F1E">
        <w:rPr>
          <w:rFonts w:ascii="PermianSerifTypeface" w:eastAsia="Arial Unicode MS" w:hAnsi="PermianSerifTypeface"/>
          <w:bCs/>
          <w:lang w:val="ro-RO"/>
        </w:rPr>
        <w:t xml:space="preserve">investiții imobiliare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prevăzut la </w:t>
      </w:r>
      <w:r w:rsidR="008C42DF" w:rsidRPr="00BE7F1E">
        <w:rPr>
          <w:rFonts w:ascii="PermianSerifTypeface" w:eastAsia="Arial Unicode MS" w:hAnsi="PermianSerifTypeface"/>
          <w:bCs/>
          <w:lang w:val="ro-RO"/>
        </w:rPr>
        <w:t>s</w:t>
      </w:r>
      <w:r w:rsidR="00794DFA" w:rsidRPr="00BE7F1E">
        <w:rPr>
          <w:rFonts w:ascii="PermianSerifTypeface" w:eastAsia="Arial Unicode MS" w:hAnsi="PermianSerifTypeface"/>
          <w:bCs/>
          <w:lang w:val="ro-RO"/>
        </w:rPr>
        <w:t>u</w:t>
      </w:r>
      <w:r w:rsidR="008C42DF" w:rsidRPr="00BE7F1E">
        <w:rPr>
          <w:rFonts w:ascii="PermianSerifTypeface" w:eastAsia="Arial Unicode MS" w:hAnsi="PermianSerifTypeface"/>
          <w:bCs/>
          <w:lang w:val="ro-RO"/>
        </w:rPr>
        <w:t>b</w:t>
      </w:r>
      <w:r w:rsidRPr="00BE7F1E">
        <w:rPr>
          <w:rFonts w:ascii="PermianSerifTypeface" w:eastAsia="Arial Unicode MS" w:hAnsi="PermianSerifTypeface"/>
          <w:bCs/>
          <w:lang w:val="ro-RO"/>
        </w:rPr>
        <w:t>p</w:t>
      </w:r>
      <w:r w:rsidR="00794DFA" w:rsidRPr="00BE7F1E">
        <w:rPr>
          <w:rFonts w:ascii="PermianSerifTypeface" w:eastAsia="Arial Unicode MS" w:hAnsi="PermianSerifTypeface"/>
          <w:bCs/>
          <w:lang w:val="ro-RO"/>
        </w:rPr>
        <w:t>ct</w:t>
      </w:r>
      <w:r w:rsidR="00182DFD" w:rsidRPr="00BE7F1E">
        <w:rPr>
          <w:rFonts w:ascii="PermianSerifTypeface" w:eastAsia="Arial Unicode MS" w:hAnsi="PermianSerifTypeface"/>
          <w:bCs/>
          <w:lang w:val="ro-RO"/>
        </w:rPr>
        <w:t>.</w:t>
      </w:r>
      <w:r w:rsidRPr="00BE7F1E">
        <w:rPr>
          <w:rFonts w:ascii="PermianSerifTypeface" w:eastAsia="Arial Unicode MS" w:hAnsi="PermianSerifTypeface"/>
          <w:bCs/>
          <w:lang w:val="ro-RO"/>
        </w:rPr>
        <w:t>3);</w:t>
      </w:r>
    </w:p>
    <w:p w14:paraId="756F2659" w14:textId="7E2D8FD8" w:rsidR="00F222C4" w:rsidRPr="00BE7F1E" w:rsidRDefault="00287F9A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i/>
          <w:iCs/>
          <w:lang w:val="ro-RO"/>
        </w:rPr>
        <w:t xml:space="preserve">credit </w:t>
      </w:r>
      <w:r w:rsidR="00C745AF" w:rsidRPr="00BE7F1E">
        <w:rPr>
          <w:rFonts w:ascii="PermianSerifTypeface" w:eastAsia="Arial Unicode MS" w:hAnsi="PermianSerifTypeface"/>
          <w:b/>
          <w:i/>
          <w:iCs/>
          <w:lang w:val="ro-RO"/>
        </w:rPr>
        <w:t xml:space="preserve">pentru investiții </w:t>
      </w:r>
      <w:r w:rsidRPr="00BE7F1E">
        <w:rPr>
          <w:rFonts w:ascii="PermianSerifTypeface" w:eastAsia="Arial Unicode MS" w:hAnsi="PermianSerifTypeface"/>
          <w:b/>
          <w:i/>
          <w:iCs/>
          <w:lang w:val="ro-RO"/>
        </w:rPr>
        <w:t>imobiliar</w:t>
      </w:r>
      <w:r w:rsidR="00C745AF" w:rsidRPr="00BE7F1E">
        <w:rPr>
          <w:rFonts w:ascii="PermianSerifTypeface" w:eastAsia="Arial Unicode MS" w:hAnsi="PermianSerifTypeface"/>
          <w:b/>
          <w:i/>
          <w:iCs/>
          <w:lang w:val="ro-RO"/>
        </w:rPr>
        <w:t>e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7E7C37" w:rsidRPr="00BE7F1E">
        <w:rPr>
          <w:rFonts w:ascii="PermianSerifTypeface" w:eastAsia="Arial Unicode MS" w:hAnsi="PermianSerifTypeface"/>
          <w:bCs/>
          <w:lang w:val="ro-RO"/>
        </w:rPr>
        <w:t>–</w:t>
      </w:r>
      <w:r w:rsidR="00384EB2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credit </w:t>
      </w:r>
      <w:r w:rsidR="005E0F41" w:rsidRPr="00BE7F1E">
        <w:rPr>
          <w:rFonts w:ascii="PermianSerifTypeface" w:eastAsia="Arial Unicode MS" w:hAnsi="PermianSerifTypeface"/>
          <w:bCs/>
          <w:lang w:val="ro-RO"/>
        </w:rPr>
        <w:t xml:space="preserve">acordat </w:t>
      </w:r>
      <w:r w:rsidR="003B571A" w:rsidRPr="00BE7F1E">
        <w:rPr>
          <w:rFonts w:ascii="PermianSerifTypeface" w:eastAsia="Arial Unicode MS" w:hAnsi="PermianSerifTypeface"/>
          <w:bCs/>
          <w:lang w:val="ro-RO"/>
        </w:rPr>
        <w:t>consumatorului</w:t>
      </w:r>
      <w:r w:rsidR="005E0F41" w:rsidRPr="00BE7F1E">
        <w:rPr>
          <w:rFonts w:ascii="PermianSerifTypeface" w:eastAsia="Arial Unicode MS" w:hAnsi="PermianSerifTypeface"/>
          <w:bCs/>
          <w:lang w:val="ro-RO"/>
        </w:rPr>
        <w:t xml:space="preserve">,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destinat 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 xml:space="preserve">dobândirii sau </w:t>
      </w:r>
      <w:r w:rsidR="00182DFD" w:rsidRPr="00BE7F1E">
        <w:rPr>
          <w:rFonts w:ascii="PermianSerifTypeface" w:eastAsia="Arial Unicode MS" w:hAnsi="PermianSerifTypeface"/>
          <w:bCs/>
          <w:lang w:val="ro-RO"/>
        </w:rPr>
        <w:t xml:space="preserve">conservării 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>dreptul</w:t>
      </w:r>
      <w:r w:rsidR="00182DFD" w:rsidRPr="00BE7F1E">
        <w:rPr>
          <w:rFonts w:ascii="PermianSerifTypeface" w:eastAsia="Arial Unicode MS" w:hAnsi="PermianSerifTypeface"/>
          <w:bCs/>
          <w:lang w:val="ro-RO"/>
        </w:rPr>
        <w:t>ui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 xml:space="preserve"> de proprietate asupra unui teren</w:t>
      </w:r>
      <w:r w:rsidR="004F1DE8" w:rsidRPr="00BE7F1E">
        <w:rPr>
          <w:rFonts w:ascii="PermianSerifTypeface" w:eastAsia="Arial Unicode MS" w:hAnsi="PermianSerifTypeface"/>
          <w:bCs/>
          <w:lang w:val="ro-RO"/>
        </w:rPr>
        <w:t>, a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 xml:space="preserve"> unei construcții</w:t>
      </w:r>
      <w:r w:rsidR="004F1DE8" w:rsidRPr="00BE7F1E">
        <w:rPr>
          <w:rFonts w:ascii="PermianSerifTypeface" w:eastAsia="Arial Unicode MS" w:hAnsi="PermianSerifTypeface"/>
          <w:bCs/>
          <w:lang w:val="ro-RO"/>
        </w:rPr>
        <w:t xml:space="preserve"> și/sau a unei părți componente a clădirii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>, realizate sau care urmează să se realizeze</w:t>
      </w:r>
      <w:r w:rsidR="00B427A3" w:rsidRPr="00BE7F1E">
        <w:rPr>
          <w:rFonts w:ascii="PermianSerifTypeface" w:eastAsia="Arial Unicode MS" w:hAnsi="PermianSerifTypeface"/>
          <w:bCs/>
          <w:lang w:val="ro-RO"/>
        </w:rPr>
        <w:t>,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B1053E" w:rsidRPr="00BE7F1E">
        <w:rPr>
          <w:rFonts w:ascii="PermianSerifTypeface" w:eastAsia="Arial Unicode MS" w:hAnsi="PermianSerifTypeface"/>
          <w:bCs/>
          <w:lang w:val="ro-RO"/>
        </w:rPr>
        <w:t>ori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bCs/>
          <w:lang w:val="ro-RO"/>
        </w:rPr>
        <w:t>modernizării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>, consolidării sau extinderii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unei 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>construcții</w:t>
      </w:r>
      <w:r w:rsidR="004F1DE8" w:rsidRPr="00BE7F1E">
        <w:rPr>
          <w:rFonts w:ascii="PermianSerifTypeface" w:eastAsia="Arial Unicode MS" w:hAnsi="PermianSerifTypeface"/>
          <w:bCs/>
          <w:lang w:val="ro-RO"/>
        </w:rPr>
        <w:t xml:space="preserve"> și/sau a unei părți componente a clădirii</w:t>
      </w:r>
      <w:r w:rsidR="008D156D" w:rsidRPr="00BE7F1E">
        <w:rPr>
          <w:rFonts w:ascii="PermianSerifTypeface" w:eastAsia="Arial Unicode MS" w:hAnsi="PermianSerifTypeface"/>
          <w:bCs/>
          <w:lang w:val="ro-RO"/>
        </w:rPr>
        <w:t>,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 xml:space="preserve"> ori pentru </w:t>
      </w:r>
      <w:r w:rsidR="00B32177" w:rsidRPr="00BE7F1E">
        <w:rPr>
          <w:rFonts w:ascii="PermianSerifTypeface" w:eastAsia="Arial Unicode MS" w:hAnsi="PermianSerifTypeface"/>
          <w:bCs/>
          <w:lang w:val="ro-RO"/>
        </w:rPr>
        <w:t>valorificarea</w:t>
      </w:r>
      <w:r w:rsidR="00C745AF" w:rsidRPr="00BE7F1E">
        <w:rPr>
          <w:rFonts w:ascii="PermianSerifTypeface" w:eastAsia="Arial Unicode MS" w:hAnsi="PermianSerifTypeface"/>
          <w:bCs/>
          <w:lang w:val="ro-RO"/>
        </w:rPr>
        <w:t xml:space="preserve"> unui teren și care este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garantat cu </w:t>
      </w:r>
      <w:r w:rsidR="00560ED1" w:rsidRPr="00BE7F1E">
        <w:rPr>
          <w:rFonts w:ascii="PermianSerifTypeface" w:eastAsia="Arial Unicode MS" w:hAnsi="PermianSerifTypeface"/>
          <w:bCs/>
          <w:lang w:val="ro-RO"/>
        </w:rPr>
        <w:t>gaj cons</w:t>
      </w:r>
      <w:r w:rsidR="00F24263" w:rsidRPr="00BE7F1E">
        <w:rPr>
          <w:rFonts w:ascii="PermianSerifTypeface" w:eastAsia="Arial Unicode MS" w:hAnsi="PermianSerifTypeface"/>
          <w:bCs/>
          <w:lang w:val="ro-RO"/>
        </w:rPr>
        <w:t>t</w:t>
      </w:r>
      <w:r w:rsidR="00560ED1" w:rsidRPr="00BE7F1E">
        <w:rPr>
          <w:rFonts w:ascii="PermianSerifTypeface" w:eastAsia="Arial Unicode MS" w:hAnsi="PermianSerifTypeface"/>
          <w:bCs/>
          <w:lang w:val="ro-RO"/>
        </w:rPr>
        <w:t xml:space="preserve">ituit asupra </w:t>
      </w:r>
      <w:r w:rsidR="00417DE5" w:rsidRPr="00BE7F1E">
        <w:rPr>
          <w:rFonts w:ascii="PermianSerifTypeface" w:eastAsia="Arial Unicode MS" w:hAnsi="PermianSerifTypeface"/>
          <w:bCs/>
          <w:lang w:val="ro-RO"/>
        </w:rPr>
        <w:t xml:space="preserve">cel puțin unui </w:t>
      </w:r>
      <w:r w:rsidR="0049127A" w:rsidRPr="00BE7F1E">
        <w:rPr>
          <w:rFonts w:ascii="PermianSerifTypeface" w:eastAsia="Arial Unicode MS" w:hAnsi="PermianSerifTypeface"/>
          <w:bCs/>
          <w:lang w:val="ro-RO"/>
        </w:rPr>
        <w:t xml:space="preserve">bun </w:t>
      </w:r>
      <w:r w:rsidRPr="00BE7F1E">
        <w:rPr>
          <w:rFonts w:ascii="PermianSerifTypeface" w:eastAsia="Arial Unicode MS" w:hAnsi="PermianSerifTypeface"/>
          <w:bCs/>
          <w:lang w:val="ro-RO"/>
        </w:rPr>
        <w:t>imobil;</w:t>
      </w:r>
    </w:p>
    <w:p w14:paraId="0131CB1B" w14:textId="312324C1" w:rsidR="002706B7" w:rsidRPr="00BE7F1E" w:rsidRDefault="002706B7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i/>
          <w:iCs/>
          <w:lang w:val="ro-RO"/>
        </w:rPr>
        <w:t>credit restructurat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– credit</w:t>
      </w:r>
      <w:r w:rsidR="005E0F41" w:rsidRPr="00BE7F1E">
        <w:rPr>
          <w:rFonts w:ascii="PermianSerifTypeface" w:eastAsia="Arial Unicode MS" w:hAnsi="PermianSerifTypeface"/>
          <w:bCs/>
          <w:lang w:val="ro-RO"/>
        </w:rPr>
        <w:t xml:space="preserve"> acordat </w:t>
      </w:r>
      <w:r w:rsidR="003B571A" w:rsidRPr="00BE7F1E">
        <w:rPr>
          <w:rFonts w:ascii="PermianSerifTypeface" w:eastAsia="Arial Unicode MS" w:hAnsi="PermianSerifTypeface"/>
          <w:bCs/>
          <w:lang w:val="ro-RO"/>
        </w:rPr>
        <w:t>consumatorului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, </w:t>
      </w:r>
      <w:r w:rsidR="00941285" w:rsidRPr="00BE7F1E">
        <w:rPr>
          <w:rFonts w:ascii="PermianSerifTypeface" w:eastAsia="Arial Unicode MS" w:hAnsi="PermianSerifTypeface"/>
          <w:bCs/>
          <w:lang w:val="ro-RO"/>
        </w:rPr>
        <w:t xml:space="preserve">în sensul </w:t>
      </w:r>
      <w:r w:rsidR="00CC213C" w:rsidRPr="00BE7F1E">
        <w:rPr>
          <w:rFonts w:ascii="PermianSerifTypeface" w:eastAsia="Arial Unicode MS" w:hAnsi="PermianSerifTypeface"/>
          <w:bCs/>
          <w:lang w:val="ro-RO"/>
        </w:rPr>
        <w:t>noțiunilor de activ renegociat sau activ prelungit din p</w:t>
      </w:r>
      <w:r w:rsidR="00620998" w:rsidRPr="00BE7F1E">
        <w:rPr>
          <w:rFonts w:ascii="PermianSerifTypeface" w:eastAsia="Arial Unicode MS" w:hAnsi="PermianSerifTypeface"/>
          <w:bCs/>
          <w:lang w:val="ro-RO"/>
        </w:rPr>
        <w:t>ct</w:t>
      </w:r>
      <w:r w:rsidR="00CC213C" w:rsidRPr="00BE7F1E">
        <w:rPr>
          <w:rFonts w:ascii="PermianSerifTypeface" w:eastAsia="Arial Unicode MS" w:hAnsi="PermianSerifTypeface"/>
          <w:bCs/>
          <w:lang w:val="ro-RO"/>
        </w:rPr>
        <w:t xml:space="preserve">.2 </w:t>
      </w:r>
      <w:r w:rsidR="00CC213C" w:rsidRPr="007916DD">
        <w:rPr>
          <w:rFonts w:ascii="PermianSerifTypeface" w:eastAsia="Arial Unicode MS" w:hAnsi="PermianSerifTypeface"/>
          <w:bCs/>
          <w:lang w:val="ro-RO"/>
        </w:rPr>
        <w:t>din Regulamentul</w:t>
      </w:r>
      <w:r w:rsidR="00CC213C" w:rsidRPr="00BE7F1E">
        <w:rPr>
          <w:rFonts w:ascii="PermianSerifTypeface" w:eastAsia="Arial Unicode MS" w:hAnsi="PermianSerifTypeface"/>
          <w:bCs/>
          <w:lang w:val="ro-RO"/>
        </w:rPr>
        <w:t xml:space="preserve"> cu privire la clasificarea activelor și angajamentelor condiționale, aprobat prin Hotărârea Consiliului de administrație al Băncii Naționale a Moldovei nr.231/2011 </w:t>
      </w:r>
      <w:r w:rsidR="00426E62" w:rsidRPr="00BE7F1E">
        <w:rPr>
          <w:rFonts w:ascii="PermianSerifTypeface" w:eastAsia="Arial Unicode MS" w:hAnsi="PermianSerifTypeface"/>
          <w:bCs/>
          <w:lang w:val="ro-RO"/>
        </w:rPr>
        <w:t>și pct.3 din Regulamentul cu privire la clasificarea activelor de către organizațiile de creditare nebancară, aprobat prin Hotărârea CNPF nr.60/4/2019</w:t>
      </w:r>
      <w:r w:rsidR="00CE3F63" w:rsidRPr="00BE7F1E">
        <w:rPr>
          <w:rFonts w:ascii="PermianSerifTypeface" w:eastAsia="Arial Unicode MS" w:hAnsi="PermianSerifTypeface"/>
          <w:bCs/>
          <w:lang w:val="ro-RO"/>
        </w:rPr>
        <w:t>;</w:t>
      </w:r>
    </w:p>
    <w:p w14:paraId="0B6D1211" w14:textId="46F50CC6" w:rsidR="00287F9A" w:rsidRPr="00BE7F1E" w:rsidRDefault="00287F9A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i/>
          <w:iCs/>
          <w:lang w:val="ro-RO"/>
        </w:rPr>
        <w:t>imobilul gajat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2A5BBC" w:rsidRPr="00BE7F1E">
        <w:rPr>
          <w:rFonts w:ascii="PermianSerifTypeface" w:eastAsia="Arial Unicode MS" w:hAnsi="PermianSerifTypeface"/>
          <w:bCs/>
          <w:lang w:val="ro-RO"/>
        </w:rPr>
        <w:t>–</w:t>
      </w:r>
      <w:r w:rsidR="00384EB2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bCs/>
          <w:lang w:val="ro-RO"/>
        </w:rPr>
        <w:t>imobil</w:t>
      </w:r>
      <w:r w:rsidR="002A5BBC" w:rsidRPr="00BE7F1E">
        <w:rPr>
          <w:rFonts w:ascii="PermianSerifTypeface" w:eastAsia="Arial Unicode MS" w:hAnsi="PermianSerifTypeface"/>
          <w:bCs/>
          <w:lang w:val="ro-RO"/>
        </w:rPr>
        <w:t>ul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depus ca garanție pentru a asigura îndeplinirea obligațiilor în temeiul unui contract de credit</w:t>
      </w:r>
      <w:r w:rsidR="005E0F41" w:rsidRPr="00BE7F1E">
        <w:rPr>
          <w:rFonts w:ascii="PermianSerifTypeface" w:eastAsia="Arial Unicode MS" w:hAnsi="PermianSerifTypeface"/>
          <w:bCs/>
          <w:lang w:val="ro-RO"/>
        </w:rPr>
        <w:t xml:space="preserve"> acordat </w:t>
      </w:r>
      <w:r w:rsidR="00C970E5" w:rsidRPr="00BE7F1E">
        <w:rPr>
          <w:rFonts w:ascii="PermianSerifTypeface" w:eastAsia="Arial Unicode MS" w:hAnsi="PermianSerifTypeface"/>
          <w:bCs/>
          <w:lang w:val="ro-RO"/>
        </w:rPr>
        <w:t>consumatorului</w:t>
      </w:r>
      <w:r w:rsidRPr="00BE7F1E">
        <w:rPr>
          <w:rFonts w:ascii="PermianSerifTypeface" w:eastAsia="Arial Unicode MS" w:hAnsi="PermianSerifTypeface"/>
          <w:bCs/>
          <w:lang w:val="ro-RO"/>
        </w:rPr>
        <w:t>;</w:t>
      </w:r>
    </w:p>
    <w:p w14:paraId="0080BA5C" w14:textId="52FFC849" w:rsidR="00772B28" w:rsidRPr="00BE7F1E" w:rsidRDefault="00772B28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hAnsi="PermianSerifTypeface"/>
          <w:b/>
          <w:bCs/>
          <w:i/>
          <w:iCs/>
          <w:lang w:val="ro-RO"/>
        </w:rPr>
        <w:t>prețul imobilului gajat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7E7C37" w:rsidRPr="00BE7F1E">
        <w:rPr>
          <w:rFonts w:ascii="PermianSerifTypeface" w:eastAsia="Arial Unicode MS" w:hAnsi="PermianSerifTypeface"/>
          <w:bCs/>
          <w:lang w:val="ro-RO"/>
        </w:rPr>
        <w:t>–</w:t>
      </w:r>
      <w:r w:rsidRPr="00BE7F1E">
        <w:rPr>
          <w:rFonts w:ascii="PermianSerifTypeface" w:hAnsi="PermianSerifTypeface"/>
          <w:lang w:val="ro-RO"/>
        </w:rPr>
        <w:t xml:space="preserve"> prețul imobilului</w:t>
      </w:r>
      <w:r w:rsidR="00CA2F1D" w:rsidRPr="00BE7F1E">
        <w:rPr>
          <w:rFonts w:ascii="PermianSerifTypeface" w:hAnsi="PermianSerifTypeface"/>
          <w:lang w:val="ro-RO"/>
        </w:rPr>
        <w:t xml:space="preserve"> care urmează a fi obiectul contractului de vânzare-cumpărare sau care este</w:t>
      </w:r>
      <w:r w:rsidRPr="00BE7F1E">
        <w:rPr>
          <w:rFonts w:ascii="PermianSerifTypeface" w:hAnsi="PermianSerifTypeface"/>
          <w:lang w:val="ro-RO"/>
        </w:rPr>
        <w:t xml:space="preserve"> specificat în contractul de vânzare-cumpărare (dacă există un asemenea contract cu o vechime nu mai mare de 6 luni</w:t>
      </w:r>
      <w:r w:rsidR="008D36FF" w:rsidRPr="00BE7F1E">
        <w:rPr>
          <w:rFonts w:ascii="PermianSerifTypeface" w:hAnsi="PermianSerifTypeface"/>
          <w:lang w:val="ro-RO"/>
        </w:rPr>
        <w:t xml:space="preserve"> la data solicitării creditului</w:t>
      </w:r>
      <w:r w:rsidRPr="00BE7F1E">
        <w:rPr>
          <w:rFonts w:ascii="PermianSerifTypeface" w:hAnsi="PermianSerifTypeface"/>
          <w:lang w:val="ro-RO"/>
        </w:rPr>
        <w:t>) a bunului respectiv;</w:t>
      </w:r>
    </w:p>
    <w:p w14:paraId="1399511F" w14:textId="36B67C18" w:rsidR="00287F9A" w:rsidRPr="00BE7F1E" w:rsidRDefault="00287F9A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raportul </w:t>
      </w:r>
      <w:r w:rsidR="009269DA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dintre 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>credit</w:t>
      </w:r>
      <w:r w:rsidR="00C31C53" w:rsidRPr="00BE7F1E">
        <w:rPr>
          <w:rFonts w:ascii="PermianSerifTypeface" w:eastAsia="Arial Unicode MS" w:hAnsi="PermianSerifTypeface"/>
          <w:b/>
          <w:bCs/>
          <w:i/>
          <w:lang w:val="ro-RO"/>
        </w:rPr>
        <w:t>e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</w:t>
      </w:r>
      <w:r w:rsidR="009269DA" w:rsidRPr="00BE7F1E">
        <w:rPr>
          <w:rFonts w:ascii="PermianSerifTypeface" w:eastAsia="Arial Unicode MS" w:hAnsi="PermianSerifTypeface"/>
          <w:b/>
          <w:bCs/>
          <w:i/>
          <w:lang w:val="ro-RO"/>
        </w:rPr>
        <w:t>și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garanții</w:t>
      </w:r>
      <w:r w:rsidR="003E75F2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(în continuare -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RCG</w:t>
      </w:r>
      <w:r w:rsidR="003E75F2" w:rsidRPr="00BE7F1E">
        <w:rPr>
          <w:rFonts w:ascii="PermianSerifTypeface" w:eastAsia="Arial Unicode MS" w:hAnsi="PermianSerifTypeface"/>
          <w:b/>
          <w:bCs/>
          <w:i/>
          <w:lang w:val="ro-RO"/>
        </w:rPr>
        <w:t>)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</w:t>
      </w:r>
      <w:r w:rsidR="00384EB2" w:rsidRPr="00BE7F1E">
        <w:rPr>
          <w:rFonts w:ascii="PermianSerifTypeface" w:eastAsia="Arial Unicode MS" w:hAnsi="PermianSerifTypeface"/>
          <w:bCs/>
          <w:lang w:val="ro-RO"/>
        </w:rPr>
        <w:t xml:space="preserve">-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raportul dintre valoarea </w:t>
      </w:r>
      <w:r w:rsidR="00AA4707" w:rsidRPr="00BE7F1E">
        <w:rPr>
          <w:rFonts w:ascii="PermianSerifTypeface" w:eastAsia="Arial Unicode MS" w:hAnsi="PermianSerifTypeface"/>
          <w:bCs/>
          <w:lang w:val="ro-RO"/>
        </w:rPr>
        <w:t xml:space="preserve">totală a </w:t>
      </w:r>
      <w:r w:rsidRPr="00BE7F1E">
        <w:rPr>
          <w:rFonts w:ascii="PermianSerifTypeface" w:eastAsia="Arial Unicode MS" w:hAnsi="PermianSerifTypeface"/>
          <w:bCs/>
          <w:lang w:val="ro-RO"/>
        </w:rPr>
        <w:t>creditului</w:t>
      </w:r>
      <w:r w:rsidR="006658DC" w:rsidRPr="00BE7F1E">
        <w:rPr>
          <w:rFonts w:ascii="PermianSerifTypeface" w:eastAsia="Arial Unicode MS" w:hAnsi="PermianSerifTypeface"/>
          <w:bCs/>
          <w:lang w:val="ro-RO"/>
        </w:rPr>
        <w:t xml:space="preserve"> acordat </w:t>
      </w:r>
      <w:r w:rsidR="003B571A" w:rsidRPr="00BE7F1E">
        <w:rPr>
          <w:rFonts w:ascii="PermianSerifTypeface" w:eastAsia="Arial Unicode MS" w:hAnsi="PermianSerifTypeface"/>
          <w:bCs/>
          <w:lang w:val="ro-RO"/>
        </w:rPr>
        <w:t>consumatorului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și valoarea </w:t>
      </w:r>
      <w:r w:rsidR="00AD0A49" w:rsidRPr="00BE7F1E">
        <w:rPr>
          <w:rFonts w:ascii="PermianSerifTypeface" w:eastAsia="Arial Unicode MS" w:hAnsi="PermianSerifTypeface"/>
          <w:bCs/>
          <w:lang w:val="ro-RO"/>
        </w:rPr>
        <w:t>imobil</w:t>
      </w:r>
      <w:r w:rsidR="00AA4707" w:rsidRPr="00BE7F1E">
        <w:rPr>
          <w:rFonts w:ascii="PermianSerifTypeface" w:eastAsia="Arial Unicode MS" w:hAnsi="PermianSerifTypeface"/>
          <w:bCs/>
          <w:lang w:val="ro-RO"/>
        </w:rPr>
        <w:t>elor</w:t>
      </w:r>
      <w:r w:rsidR="00AD0A49" w:rsidRPr="00BE7F1E">
        <w:rPr>
          <w:rFonts w:ascii="PermianSerifTypeface" w:eastAsia="Arial Unicode MS" w:hAnsi="PermianSerifTypeface"/>
          <w:bCs/>
          <w:lang w:val="ro-RO"/>
        </w:rPr>
        <w:t xml:space="preserve"> gajat</w:t>
      </w:r>
      <w:r w:rsidR="00AA4707" w:rsidRPr="00BE7F1E">
        <w:rPr>
          <w:rFonts w:ascii="PermianSerifTypeface" w:eastAsia="Arial Unicode MS" w:hAnsi="PermianSerifTypeface"/>
          <w:bCs/>
          <w:lang w:val="ro-RO"/>
        </w:rPr>
        <w:t>e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aferent creditului respectiv</w:t>
      </w:r>
      <w:r w:rsidR="00EC1B71" w:rsidRPr="00BE7F1E">
        <w:rPr>
          <w:rFonts w:ascii="PermianSerifTypeface" w:eastAsia="Arial Unicode MS" w:hAnsi="PermianSerifTypeface"/>
          <w:bCs/>
          <w:lang w:val="ro-RO"/>
        </w:rPr>
        <w:t>, exprimat în %</w:t>
      </w:r>
      <w:r w:rsidR="007C6747" w:rsidRPr="00BE7F1E">
        <w:rPr>
          <w:rFonts w:ascii="PermianSerifTypeface" w:eastAsia="Arial Unicode MS" w:hAnsi="PermianSerifTypeface"/>
          <w:bCs/>
          <w:lang w:val="ro-RO"/>
        </w:rPr>
        <w:t xml:space="preserve">, astfel cum este </w:t>
      </w:r>
      <w:r w:rsidR="00F24263" w:rsidRPr="00BE7F1E">
        <w:rPr>
          <w:rFonts w:ascii="PermianSerifTypeface" w:eastAsia="Arial Unicode MS" w:hAnsi="PermianSerifTypeface"/>
          <w:bCs/>
          <w:lang w:val="ro-RO"/>
        </w:rPr>
        <w:t>reglementat</w:t>
      </w:r>
      <w:r w:rsidR="00F24263" w:rsidRPr="00BE7F1E">
        <w:rPr>
          <w:rFonts w:ascii="PermianSerifTypeface" w:eastAsia="Arial Unicode MS" w:hAnsi="PermianSerifTypeface"/>
          <w:bCs/>
          <w:lang w:val="ro-MD"/>
        </w:rPr>
        <w:t xml:space="preserve"> </w:t>
      </w:r>
      <w:r w:rsidR="007C6747" w:rsidRPr="00BE7F1E">
        <w:rPr>
          <w:rFonts w:ascii="PermianSerifTypeface" w:eastAsia="Arial Unicode MS" w:hAnsi="PermianSerifTypeface"/>
          <w:bCs/>
          <w:lang w:val="ro-MD"/>
        </w:rPr>
        <w:t xml:space="preserve">în Secțiunea </w:t>
      </w:r>
      <w:r w:rsidR="00D22D17" w:rsidRPr="00BE7F1E">
        <w:rPr>
          <w:rFonts w:ascii="PermianSerifTypeface" w:eastAsia="Arial Unicode MS" w:hAnsi="PermianSerifTypeface"/>
          <w:bCs/>
          <w:lang w:val="ro-MD"/>
        </w:rPr>
        <w:t>3</w:t>
      </w:r>
      <w:r w:rsidR="0098450F" w:rsidRPr="00BE7F1E">
        <w:rPr>
          <w:rFonts w:ascii="PermianSerifTypeface" w:eastAsia="Arial Unicode MS" w:hAnsi="PermianSerifTypeface"/>
          <w:bCs/>
          <w:lang w:val="ro-MD"/>
        </w:rPr>
        <w:t xml:space="preserve"> din Capitolul III</w:t>
      </w:r>
      <w:r w:rsidRPr="00BE7F1E">
        <w:rPr>
          <w:rFonts w:ascii="PermianSerifTypeface" w:eastAsia="Arial Unicode MS" w:hAnsi="PermianSerifTypeface"/>
          <w:bCs/>
          <w:lang w:val="ro-RO"/>
        </w:rPr>
        <w:t>;</w:t>
      </w:r>
    </w:p>
    <w:p w14:paraId="31BEA186" w14:textId="263EDCB8" w:rsidR="00287F9A" w:rsidRPr="00BE7F1E" w:rsidRDefault="00287F9A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raportul </w:t>
      </w:r>
      <w:r w:rsidR="009269DA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dintre 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serviciul datoriei </w:t>
      </w:r>
      <w:r w:rsidR="009269DA" w:rsidRPr="00BE7F1E">
        <w:rPr>
          <w:rFonts w:ascii="PermianSerifTypeface" w:eastAsia="Arial Unicode MS" w:hAnsi="PermianSerifTypeface"/>
          <w:b/>
          <w:bCs/>
          <w:i/>
          <w:lang w:val="ro-RO"/>
        </w:rPr>
        <w:t>și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venituri </w:t>
      </w:r>
      <w:r w:rsidR="003E75F2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(în continuare – 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>RSDV</w:t>
      </w:r>
      <w:r w:rsidR="003E75F2" w:rsidRPr="00BE7F1E">
        <w:rPr>
          <w:rFonts w:ascii="PermianSerifTypeface" w:eastAsia="Arial Unicode MS" w:hAnsi="PermianSerifTypeface"/>
          <w:b/>
          <w:bCs/>
          <w:i/>
          <w:lang w:val="ro-RO"/>
        </w:rPr>
        <w:t>)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</w:t>
      </w:r>
      <w:r w:rsidR="005E0F41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</w:t>
      </w:r>
      <w:r w:rsidR="00384EB2" w:rsidRPr="00BE7F1E">
        <w:rPr>
          <w:rFonts w:ascii="PermianSerifTypeface" w:eastAsia="Arial Unicode MS" w:hAnsi="PermianSerifTypeface"/>
          <w:bCs/>
          <w:lang w:val="ro-RO"/>
        </w:rPr>
        <w:t>-</w:t>
      </w:r>
      <w:r w:rsidR="00384EB2" w:rsidRPr="00BE7F1E">
        <w:rPr>
          <w:rFonts w:ascii="PermianSerifTypeface" w:hAnsi="PermianSerifTypeface"/>
          <w:lang w:val="it-IT"/>
        </w:rPr>
        <w:t xml:space="preserve">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raportul dintre serviciul datoriei și venitul mediu al </w:t>
      </w:r>
      <w:r w:rsidR="003B571A" w:rsidRPr="00BE7F1E">
        <w:rPr>
          <w:rFonts w:ascii="PermianSerifTypeface" w:eastAsia="Arial Unicode MS" w:hAnsi="PermianSerifTypeface"/>
          <w:bCs/>
          <w:lang w:val="ro-RO"/>
        </w:rPr>
        <w:t>consumatorului</w:t>
      </w:r>
      <w:r w:rsidRPr="00BE7F1E">
        <w:rPr>
          <w:rFonts w:ascii="PermianSerifTypeface" w:eastAsia="Arial Unicode MS" w:hAnsi="PermianSerifTypeface"/>
          <w:bCs/>
          <w:lang w:val="ro-RO"/>
        </w:rPr>
        <w:t>, exprimat în %</w:t>
      </w:r>
      <w:r w:rsidR="00E4505C" w:rsidRPr="00BE7F1E">
        <w:rPr>
          <w:rFonts w:ascii="PermianSerifTypeface" w:eastAsia="Arial Unicode MS" w:hAnsi="PermianSerifTypeface"/>
          <w:bCs/>
          <w:lang w:val="ro-RO"/>
        </w:rPr>
        <w:t xml:space="preserve">, astfel cum este </w:t>
      </w:r>
      <w:r w:rsidR="00F24263" w:rsidRPr="00BE7F1E">
        <w:rPr>
          <w:rFonts w:ascii="PermianSerifTypeface" w:eastAsia="Arial Unicode MS" w:hAnsi="PermianSerifTypeface"/>
          <w:bCs/>
          <w:lang w:val="ro-RO"/>
        </w:rPr>
        <w:t>reglementat</w:t>
      </w:r>
      <w:r w:rsidR="00F24263" w:rsidRPr="00BE7F1E">
        <w:rPr>
          <w:rFonts w:ascii="PermianSerifTypeface" w:eastAsia="Arial Unicode MS" w:hAnsi="PermianSerifTypeface"/>
          <w:bCs/>
          <w:lang w:val="ro-MD"/>
        </w:rPr>
        <w:t xml:space="preserve"> </w:t>
      </w:r>
      <w:r w:rsidR="00E4505C" w:rsidRPr="00BE7F1E">
        <w:rPr>
          <w:rFonts w:ascii="PermianSerifTypeface" w:eastAsia="Arial Unicode MS" w:hAnsi="PermianSerifTypeface"/>
          <w:bCs/>
          <w:lang w:val="ro-MD"/>
        </w:rPr>
        <w:t xml:space="preserve">în Secțiunea </w:t>
      </w:r>
      <w:r w:rsidR="00D22D17" w:rsidRPr="00BE7F1E">
        <w:rPr>
          <w:rFonts w:ascii="PermianSerifTypeface" w:eastAsia="Arial Unicode MS" w:hAnsi="PermianSerifTypeface"/>
          <w:bCs/>
          <w:lang w:val="ro-MD"/>
        </w:rPr>
        <w:t>4</w:t>
      </w:r>
      <w:r w:rsidR="0098450F" w:rsidRPr="00BE7F1E">
        <w:rPr>
          <w:rFonts w:ascii="PermianSerifTypeface" w:eastAsia="Arial Unicode MS" w:hAnsi="PermianSerifTypeface"/>
          <w:bCs/>
          <w:lang w:val="ro-MD"/>
        </w:rPr>
        <w:t xml:space="preserve"> din Capitolul III</w:t>
      </w:r>
      <w:r w:rsidRPr="00BE7F1E">
        <w:rPr>
          <w:rFonts w:ascii="PermianSerifTypeface" w:eastAsia="Arial Unicode MS" w:hAnsi="PermianSerifTypeface"/>
          <w:bCs/>
          <w:lang w:val="ro-RO"/>
        </w:rPr>
        <w:t>;</w:t>
      </w:r>
    </w:p>
    <w:p w14:paraId="61ADD3E5" w14:textId="47A34C9E" w:rsidR="00287F9A" w:rsidRPr="00BE7F1E" w:rsidRDefault="00287F9A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>serviciul datoriei</w:t>
      </w:r>
      <w:r w:rsidR="002A5BBC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7E7C37" w:rsidRPr="00BE7F1E">
        <w:rPr>
          <w:rFonts w:ascii="PermianSerifTypeface" w:eastAsia="Arial Unicode MS" w:hAnsi="PermianSerifTypeface"/>
          <w:bCs/>
          <w:lang w:val="ro-RO"/>
        </w:rPr>
        <w:t>–</w:t>
      </w:r>
      <w:r w:rsidR="00384EB2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valoarea </w:t>
      </w:r>
      <w:r w:rsidR="00C404F9" w:rsidRPr="00BE7F1E">
        <w:rPr>
          <w:rFonts w:ascii="PermianSerifTypeface" w:eastAsia="Arial Unicode MS" w:hAnsi="PermianSerifTypeface"/>
          <w:bCs/>
          <w:lang w:val="ro-RO"/>
        </w:rPr>
        <w:t xml:space="preserve">medie lunară a obligațiilor de plată pentru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deservirea datoriei totale a </w:t>
      </w:r>
      <w:r w:rsidR="003B571A" w:rsidRPr="00BE7F1E">
        <w:rPr>
          <w:rFonts w:ascii="PermianSerifTypeface" w:eastAsia="Arial Unicode MS" w:hAnsi="PermianSerifTypeface"/>
          <w:bCs/>
          <w:lang w:val="ro-RO"/>
        </w:rPr>
        <w:t>consumatorului</w:t>
      </w:r>
      <w:r w:rsidR="00C404F9" w:rsidRPr="00BE7F1E">
        <w:rPr>
          <w:rFonts w:ascii="PermianSerifTypeface" w:eastAsia="Arial Unicode MS" w:hAnsi="PermianSerifTypeface"/>
          <w:bCs/>
          <w:lang w:val="ro-RO"/>
        </w:rPr>
        <w:t xml:space="preserve"> rezultate din contractele de credit/împrumut</w:t>
      </w:r>
      <w:r w:rsidR="00DA668B" w:rsidRPr="00BE7F1E">
        <w:rPr>
          <w:rFonts w:ascii="PermianSerifTypeface" w:eastAsia="Arial Unicode MS" w:hAnsi="PermianSerifTypeface"/>
          <w:bCs/>
          <w:lang w:val="ro-RO"/>
        </w:rPr>
        <w:t xml:space="preserve"> ale consumatorului</w:t>
      </w:r>
      <w:r w:rsidR="00BD2A40" w:rsidRPr="00BE7F1E">
        <w:rPr>
          <w:rFonts w:ascii="PermianSerifTypeface" w:eastAsia="Arial Unicode MS" w:hAnsi="PermianSerifTypeface"/>
          <w:bCs/>
          <w:lang w:val="ro-MD"/>
        </w:rPr>
        <w:t xml:space="preserve"> și cunoscute creditorului la etapa evaluării bonității consumatorului, calculată ca suma plăților medii lunare calculate pentru toate creditele/împrumuturile </w:t>
      </w:r>
      <w:r w:rsidR="00DA668B" w:rsidRPr="00BE7F1E">
        <w:rPr>
          <w:rFonts w:ascii="PermianSerifTypeface" w:eastAsia="Arial Unicode MS" w:hAnsi="PermianSerifTypeface"/>
          <w:bCs/>
          <w:lang w:val="ro-MD"/>
        </w:rPr>
        <w:t xml:space="preserve">acordate </w:t>
      </w:r>
      <w:r w:rsidR="00BD2A40" w:rsidRPr="00BE7F1E">
        <w:rPr>
          <w:rFonts w:ascii="PermianSerifTypeface" w:eastAsia="Arial Unicode MS" w:hAnsi="PermianSerifTypeface"/>
          <w:bCs/>
          <w:lang w:val="ro-MD"/>
        </w:rPr>
        <w:t>consumatorului</w:t>
      </w:r>
      <w:r w:rsidR="00DA668B" w:rsidRPr="00BE7F1E">
        <w:rPr>
          <w:rFonts w:ascii="PermianSerifTypeface" w:eastAsia="Arial Unicode MS" w:hAnsi="PermianSerifTypeface"/>
          <w:bCs/>
          <w:lang w:val="ro-MD"/>
        </w:rPr>
        <w:t>, inclusiv a celor la care acesta participă în calitate de codebitor,</w:t>
      </w:r>
      <w:r w:rsidR="00BD2A40" w:rsidRPr="00BE7F1E">
        <w:rPr>
          <w:rFonts w:ascii="PermianSerifTypeface" w:eastAsia="Arial Unicode MS" w:hAnsi="PermianSerifTypeface"/>
          <w:bCs/>
          <w:lang w:val="ro-MD"/>
        </w:rPr>
        <w:t xml:space="preserve"> la momentul eliberării creditului împreună cu plata medie lunară a creditului nou. Plata medie lunară aferentă unui credit/împrumut se calculează ca raport</w:t>
      </w:r>
      <w:r w:rsidR="002A6445">
        <w:rPr>
          <w:rFonts w:ascii="PermianSerifTypeface" w:eastAsia="Arial Unicode MS" w:hAnsi="PermianSerifTypeface"/>
          <w:bCs/>
          <w:lang w:val="ro-MD"/>
        </w:rPr>
        <w:t xml:space="preserve">ul dintre </w:t>
      </w:r>
      <w:r w:rsidR="00BD2A40" w:rsidRPr="00BE7F1E">
        <w:rPr>
          <w:rFonts w:ascii="PermianSerifTypeface" w:eastAsia="Arial Unicode MS" w:hAnsi="PermianSerifTypeface"/>
          <w:bCs/>
          <w:lang w:val="ro-MD"/>
        </w:rPr>
        <w:t xml:space="preserve"> valo</w:t>
      </w:r>
      <w:r w:rsidR="002A6445">
        <w:rPr>
          <w:rFonts w:ascii="PermianSerifTypeface" w:eastAsia="Arial Unicode MS" w:hAnsi="PermianSerifTypeface"/>
          <w:bCs/>
          <w:lang w:val="ro-MD"/>
        </w:rPr>
        <w:t>a</w:t>
      </w:r>
      <w:r w:rsidR="00BD2A40" w:rsidRPr="00BE7F1E">
        <w:rPr>
          <w:rFonts w:ascii="PermianSerifTypeface" w:eastAsia="Arial Unicode MS" w:hAnsi="PermianSerifTypeface"/>
          <w:bCs/>
          <w:lang w:val="ro-MD"/>
        </w:rPr>
        <w:t>r</w:t>
      </w:r>
      <w:r w:rsidR="002A6445">
        <w:rPr>
          <w:rFonts w:ascii="PermianSerifTypeface" w:eastAsia="Arial Unicode MS" w:hAnsi="PermianSerifTypeface"/>
          <w:bCs/>
          <w:lang w:val="ro-MD"/>
        </w:rPr>
        <w:t>ea</w:t>
      </w:r>
      <w:r w:rsidR="00BD2A40" w:rsidRPr="00BE7F1E">
        <w:rPr>
          <w:rFonts w:ascii="PermianSerifTypeface" w:eastAsia="Arial Unicode MS" w:hAnsi="PermianSerifTypeface"/>
          <w:bCs/>
          <w:lang w:val="ro-MD"/>
        </w:rPr>
        <w:t xml:space="preserve"> creditului/împrumutului, a dobânzii și a altor plăți aferente la scadența reziduală a creditului/împrumutului în luni</w:t>
      </w:r>
      <w:r w:rsidRPr="00BE7F1E">
        <w:rPr>
          <w:rFonts w:ascii="PermianSerifTypeface" w:eastAsia="Arial Unicode MS" w:hAnsi="PermianSerifTypeface"/>
          <w:bCs/>
          <w:lang w:val="ro-RO"/>
        </w:rPr>
        <w:t>;</w:t>
      </w:r>
    </w:p>
    <w:p w14:paraId="3479C305" w14:textId="1A2C727B" w:rsidR="00287F9A" w:rsidRPr="00BE7F1E" w:rsidRDefault="00287F9A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>valoarea de piață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CE3F63" w:rsidRPr="00BE7F1E">
        <w:rPr>
          <w:rFonts w:ascii="PermianSerifTypeface" w:eastAsia="Arial Unicode MS" w:hAnsi="PermianSerifTypeface"/>
          <w:bCs/>
          <w:lang w:val="ro-RO"/>
        </w:rPr>
        <w:t>–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CE3F63" w:rsidRPr="00BE7F1E">
        <w:rPr>
          <w:rFonts w:ascii="PermianSerifTypeface" w:eastAsia="Arial Unicode MS" w:hAnsi="PermianSerifTypeface"/>
          <w:bCs/>
          <w:lang w:val="ro-RO"/>
        </w:rPr>
        <w:t>valoarea de piață</w:t>
      </w:r>
      <w:r w:rsidR="00C404F9" w:rsidRPr="00C04F4A">
        <w:rPr>
          <w:lang w:val="pt-BR"/>
        </w:rPr>
        <w:t xml:space="preserve"> </w:t>
      </w:r>
      <w:r w:rsidR="00C404F9" w:rsidRPr="00BE7F1E">
        <w:rPr>
          <w:rFonts w:ascii="PermianSerifTypeface" w:eastAsia="Arial Unicode MS" w:hAnsi="PermianSerifTypeface"/>
          <w:bCs/>
          <w:lang w:val="ro-RO"/>
        </w:rPr>
        <w:t>conform noțiunii respective din art. 1 din Legea nr.989/2002 cu privire la activitatea de evaluare</w:t>
      </w:r>
      <w:r w:rsidR="00A4496E" w:rsidRPr="00BE7F1E">
        <w:rPr>
          <w:rFonts w:ascii="PermianSerifTypeface" w:eastAsia="Arial Unicode MS" w:hAnsi="PermianSerifTypeface"/>
          <w:bCs/>
          <w:lang w:val="ro-RO"/>
        </w:rPr>
        <w:t xml:space="preserve">, </w:t>
      </w:r>
      <w:r w:rsidR="0045175F" w:rsidRPr="00BE7F1E">
        <w:rPr>
          <w:rFonts w:ascii="PermianSerifTypeface" w:eastAsia="Arial Unicode MS" w:hAnsi="PermianSerifTypeface"/>
          <w:bCs/>
          <w:lang w:val="ro-RO"/>
        </w:rPr>
        <w:t xml:space="preserve">estimată în </w:t>
      </w:r>
      <w:r w:rsidR="006563CF" w:rsidRPr="00BE7F1E">
        <w:rPr>
          <w:rFonts w:ascii="PermianSerifTypeface" w:eastAsia="Arial Unicode MS" w:hAnsi="PermianSerifTypeface"/>
          <w:bCs/>
          <w:lang w:val="ro-RO"/>
        </w:rPr>
        <w:t xml:space="preserve">ultimul </w:t>
      </w:r>
      <w:r w:rsidR="0045175F" w:rsidRPr="00BE7F1E">
        <w:rPr>
          <w:rFonts w:ascii="PermianSerifTypeface" w:eastAsia="Arial Unicode MS" w:hAnsi="PermianSerifTypeface"/>
          <w:bCs/>
          <w:lang w:val="ro-RO"/>
        </w:rPr>
        <w:t xml:space="preserve">raport de evaluare </w:t>
      </w:r>
      <w:r w:rsidR="008963C5" w:rsidRPr="00BE7F1E">
        <w:rPr>
          <w:rFonts w:ascii="PermianSerifTypeface" w:eastAsia="Arial Unicode MS" w:hAnsi="PermianSerifTypeface"/>
          <w:bCs/>
          <w:lang w:val="ro-RO"/>
        </w:rPr>
        <w:t xml:space="preserve">efectuat de către o întreprindere independentă de evaluare </w:t>
      </w:r>
      <w:r w:rsidR="008963C5" w:rsidRPr="00BE7F1E">
        <w:rPr>
          <w:rFonts w:ascii="PermianSerifTypeface" w:eastAsia="Arial Unicode MS" w:hAnsi="PermianSerifTypeface"/>
          <w:bCs/>
          <w:lang w:val="ro-RO"/>
        </w:rPr>
        <w:lastRenderedPageBreak/>
        <w:t xml:space="preserve">a bunurilor imobile, </w:t>
      </w:r>
      <w:r w:rsidR="0045175F" w:rsidRPr="00BE7F1E">
        <w:rPr>
          <w:rFonts w:ascii="PermianSerifTypeface" w:eastAsia="Arial Unicode MS" w:hAnsi="PermianSerifTypeface"/>
          <w:bCs/>
          <w:lang w:val="ro-RO"/>
        </w:rPr>
        <w:t>deținut de bancă</w:t>
      </w:r>
      <w:r w:rsidR="008963C5" w:rsidRPr="00BE7F1E">
        <w:rPr>
          <w:rFonts w:ascii="PermianSerifTypeface" w:eastAsia="Arial Unicode MS" w:hAnsi="PermianSerifTypeface"/>
          <w:bCs/>
          <w:lang w:val="ro-RO"/>
        </w:rPr>
        <w:t xml:space="preserve"> sau de organizația de creditare nebancară</w:t>
      </w:r>
      <w:r w:rsidR="00CE3F63" w:rsidRPr="00BE7F1E">
        <w:rPr>
          <w:rFonts w:ascii="PermianSerifTypeface" w:eastAsia="Arial Unicode MS" w:hAnsi="PermianSerifTypeface"/>
          <w:bCs/>
          <w:lang w:val="ro-RO"/>
        </w:rPr>
        <w:t>;</w:t>
      </w:r>
    </w:p>
    <w:p w14:paraId="2C4D362D" w14:textId="720DE1A9" w:rsidR="00215EE6" w:rsidRPr="00BE7F1E" w:rsidRDefault="00287F9A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venitul mediu al </w:t>
      </w:r>
      <w:r w:rsidR="00AA4707" w:rsidRPr="00BE7F1E">
        <w:rPr>
          <w:rFonts w:ascii="PermianSerifTypeface" w:eastAsia="Arial Unicode MS" w:hAnsi="PermianSerifTypeface"/>
          <w:b/>
          <w:bCs/>
          <w:i/>
          <w:lang w:val="ro-RO"/>
        </w:rPr>
        <w:t>consumatorului</w:t>
      </w:r>
      <w:r w:rsidR="00AA4707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7E7C37" w:rsidRPr="00BE7F1E">
        <w:rPr>
          <w:rFonts w:ascii="PermianSerifTypeface" w:eastAsia="Arial Unicode MS" w:hAnsi="PermianSerifTypeface"/>
          <w:bCs/>
          <w:lang w:val="ro-RO"/>
        </w:rPr>
        <w:t>–</w:t>
      </w:r>
      <w:r w:rsidR="00384EB2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venitul net mediu lunar al </w:t>
      </w:r>
      <w:r w:rsidR="003B571A" w:rsidRPr="00BE7F1E">
        <w:rPr>
          <w:rFonts w:ascii="PermianSerifTypeface" w:eastAsia="Arial Unicode MS" w:hAnsi="PermianSerifTypeface"/>
          <w:bCs/>
          <w:lang w:val="ro-RO"/>
        </w:rPr>
        <w:t>consumatorului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, utilizat </w:t>
      </w:r>
      <w:r w:rsidR="00384EB2" w:rsidRPr="00BE7F1E">
        <w:rPr>
          <w:rFonts w:ascii="PermianSerifTypeface" w:eastAsia="Arial Unicode MS" w:hAnsi="PermianSerifTypeface"/>
          <w:bCs/>
          <w:lang w:val="ro-RO"/>
        </w:rPr>
        <w:t>la determin</w:t>
      </w:r>
      <w:r w:rsidR="00386CEA" w:rsidRPr="00BE7F1E">
        <w:rPr>
          <w:rFonts w:ascii="PermianSerifTypeface" w:eastAsia="Arial Unicode MS" w:hAnsi="PermianSerifTypeface"/>
          <w:bCs/>
          <w:lang w:val="ro-RO"/>
        </w:rPr>
        <w:t>a</w:t>
      </w:r>
      <w:r w:rsidR="00384EB2" w:rsidRPr="00BE7F1E">
        <w:rPr>
          <w:rFonts w:ascii="PermianSerifTypeface" w:eastAsia="Arial Unicode MS" w:hAnsi="PermianSerifTypeface"/>
          <w:bCs/>
          <w:lang w:val="ro-RO"/>
        </w:rPr>
        <w:t xml:space="preserve">rea bonității </w:t>
      </w:r>
      <w:r w:rsidR="003B571A" w:rsidRPr="00BE7F1E">
        <w:rPr>
          <w:rFonts w:ascii="PermianSerifTypeface" w:eastAsia="Arial Unicode MS" w:hAnsi="PermianSerifTypeface"/>
          <w:bCs/>
          <w:lang w:val="ro-RO"/>
        </w:rPr>
        <w:t xml:space="preserve">acestuia </w:t>
      </w:r>
      <w:r w:rsidRPr="00BE7F1E">
        <w:rPr>
          <w:rFonts w:ascii="PermianSerifTypeface" w:eastAsia="Arial Unicode MS" w:hAnsi="PermianSerifTypeface"/>
          <w:bCs/>
          <w:lang w:val="ro-RO"/>
        </w:rPr>
        <w:t>la depunerea cererii pentru acordarea creditului</w:t>
      </w:r>
      <w:r w:rsidR="00E4505C" w:rsidRPr="00BE7F1E">
        <w:rPr>
          <w:rFonts w:ascii="PermianSerifTypeface" w:eastAsia="Arial Unicode MS" w:hAnsi="PermianSerifTypeface"/>
          <w:bCs/>
          <w:lang w:val="ro-RO"/>
        </w:rPr>
        <w:t xml:space="preserve">, astfel cum este </w:t>
      </w:r>
      <w:r w:rsidR="00F24263" w:rsidRPr="00BE7F1E">
        <w:rPr>
          <w:rFonts w:ascii="PermianSerifTypeface" w:eastAsia="Arial Unicode MS" w:hAnsi="PermianSerifTypeface"/>
          <w:bCs/>
          <w:lang w:val="ro-RO"/>
        </w:rPr>
        <w:t>reglementat</w:t>
      </w:r>
      <w:r w:rsidR="00F24263" w:rsidRPr="00BE7F1E">
        <w:rPr>
          <w:rFonts w:ascii="PermianSerifTypeface" w:eastAsia="Arial Unicode MS" w:hAnsi="PermianSerifTypeface"/>
          <w:bCs/>
          <w:lang w:val="ro-MD"/>
        </w:rPr>
        <w:t xml:space="preserve"> </w:t>
      </w:r>
      <w:r w:rsidR="00E4505C" w:rsidRPr="00BE7F1E">
        <w:rPr>
          <w:rFonts w:ascii="PermianSerifTypeface" w:eastAsia="Arial Unicode MS" w:hAnsi="PermianSerifTypeface"/>
          <w:bCs/>
          <w:lang w:val="ro-MD"/>
        </w:rPr>
        <w:t xml:space="preserve">în Secțiunea </w:t>
      </w:r>
      <w:r w:rsidR="00D22D17" w:rsidRPr="00BE7F1E">
        <w:rPr>
          <w:rFonts w:ascii="PermianSerifTypeface" w:eastAsia="Arial Unicode MS" w:hAnsi="PermianSerifTypeface"/>
          <w:bCs/>
          <w:lang w:val="ro-MD"/>
        </w:rPr>
        <w:t>4</w:t>
      </w:r>
      <w:r w:rsidR="0098450F" w:rsidRPr="00BE7F1E">
        <w:rPr>
          <w:rFonts w:ascii="PermianSerifTypeface" w:eastAsia="Arial Unicode MS" w:hAnsi="PermianSerifTypeface"/>
          <w:bCs/>
          <w:lang w:val="ro-MD"/>
        </w:rPr>
        <w:t xml:space="preserve"> din Capitolul III</w:t>
      </w:r>
      <w:r w:rsidR="00215EE6" w:rsidRPr="00BE7F1E">
        <w:rPr>
          <w:rFonts w:ascii="PermianSerifTypeface" w:eastAsia="Arial Unicode MS" w:hAnsi="PermianSerifTypeface"/>
          <w:bCs/>
          <w:lang w:val="ro-MD"/>
        </w:rPr>
        <w:t>;</w:t>
      </w:r>
    </w:p>
    <w:p w14:paraId="0BC84C8B" w14:textId="4B74E734" w:rsidR="00287F9A" w:rsidRPr="00BE7F1E" w:rsidRDefault="00215EE6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>venituri</w:t>
      </w:r>
      <w:r w:rsidR="00572F36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</w:t>
      </w:r>
      <w:r w:rsidR="0071706B" w:rsidRPr="00BE7F1E">
        <w:rPr>
          <w:rFonts w:ascii="PermianSerifTypeface" w:eastAsia="Arial Unicode MS" w:hAnsi="PermianSerifTypeface"/>
          <w:b/>
          <w:bCs/>
          <w:i/>
          <w:lang w:val="ro-RO"/>
        </w:rPr>
        <w:t>confirmate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iCs/>
          <w:lang w:val="ro-RO"/>
        </w:rPr>
        <w:t xml:space="preserve">– veniturile efectiv încasate ce pot fi </w:t>
      </w:r>
      <w:r w:rsidR="00B1053E" w:rsidRPr="00BE7F1E">
        <w:rPr>
          <w:rFonts w:ascii="PermianSerifTypeface" w:eastAsia="Arial Unicode MS" w:hAnsi="PermianSerifTypeface"/>
          <w:iCs/>
          <w:lang w:val="ro-RO"/>
        </w:rPr>
        <w:t xml:space="preserve">confirmate </w:t>
      </w:r>
      <w:r w:rsidR="00CA2F1D" w:rsidRPr="00BE7F1E">
        <w:rPr>
          <w:rFonts w:ascii="PermianSerifTypeface" w:eastAsia="Arial Unicode MS" w:hAnsi="PermianSerifTypeface"/>
          <w:iCs/>
          <w:lang w:val="ro-RO"/>
        </w:rPr>
        <w:t xml:space="preserve">prin documente emise </w:t>
      </w:r>
      <w:r w:rsidR="007C04C9" w:rsidRPr="00BE7F1E">
        <w:rPr>
          <w:rFonts w:ascii="PermianSerifTypeface" w:eastAsia="Arial Unicode MS" w:hAnsi="PermianSerifTypeface"/>
          <w:iCs/>
          <w:lang w:val="ro-RO"/>
        </w:rPr>
        <w:t>de</w:t>
      </w:r>
      <w:r w:rsidR="00F205BB" w:rsidRPr="00BE7F1E">
        <w:rPr>
          <w:rFonts w:ascii="PermianSerifTypeface" w:eastAsia="Arial Unicode MS" w:hAnsi="PermianSerifTypeface"/>
          <w:iCs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iCs/>
          <w:lang w:val="ro-RO"/>
        </w:rPr>
        <w:t xml:space="preserve">autoritățile publice,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bănci, </w:t>
      </w:r>
      <w:r w:rsidR="005A0379" w:rsidRPr="00BE7F1E">
        <w:rPr>
          <w:rFonts w:ascii="PermianSerifTypeface" w:eastAsia="Arial Unicode MS" w:hAnsi="PermianSerifTypeface"/>
          <w:bCs/>
          <w:lang w:val="ro-RO"/>
        </w:rPr>
        <w:t xml:space="preserve">entitățile din domeniul </w:t>
      </w:r>
      <w:r w:rsidRPr="00BE7F1E">
        <w:rPr>
          <w:rFonts w:ascii="PermianSerifTypeface" w:eastAsia="Arial Unicode MS" w:hAnsi="PermianSerifTypeface"/>
          <w:bCs/>
          <w:lang w:val="ro-RO"/>
        </w:rPr>
        <w:t>financiar nebancar și/sau birourile istoriilor de credit</w:t>
      </w:r>
      <w:r w:rsidR="00E0266A" w:rsidRPr="00BE7F1E">
        <w:rPr>
          <w:rFonts w:ascii="PermianSerifTypeface" w:eastAsia="Arial Unicode MS" w:hAnsi="PermianSerifTypeface"/>
          <w:bCs/>
          <w:lang w:val="ro-RO"/>
        </w:rPr>
        <w:t>, inclusiv remit</w:t>
      </w:r>
      <w:r w:rsidR="00611677">
        <w:rPr>
          <w:rFonts w:ascii="PermianSerifTypeface" w:eastAsia="Arial Unicode MS" w:hAnsi="PermianSerifTypeface"/>
          <w:bCs/>
          <w:lang w:val="ro-RO"/>
        </w:rPr>
        <w:t>e</w:t>
      </w:r>
      <w:r w:rsidR="002A6445">
        <w:rPr>
          <w:rFonts w:ascii="PermianSerifTypeface" w:eastAsia="Arial Unicode MS" w:hAnsi="PermianSerifTypeface"/>
          <w:bCs/>
          <w:lang w:val="ro-RO"/>
        </w:rPr>
        <w:t>rile</w:t>
      </w:r>
      <w:r w:rsidR="00E0266A" w:rsidRPr="00BE7F1E">
        <w:rPr>
          <w:rFonts w:ascii="PermianSerifTypeface" w:eastAsia="Arial Unicode MS" w:hAnsi="PermianSerifTypeface"/>
          <w:bCs/>
          <w:lang w:val="ro-RO"/>
        </w:rPr>
        <w:t xml:space="preserve"> care pot fi confirmate documentar</w:t>
      </w:r>
      <w:r w:rsidR="00620998" w:rsidRPr="00BE7F1E">
        <w:rPr>
          <w:rFonts w:ascii="PermianSerifTypeface" w:eastAsia="Arial Unicode MS" w:hAnsi="PermianSerifTypeface"/>
          <w:bCs/>
          <w:lang w:val="ro-RO"/>
        </w:rPr>
        <w:t xml:space="preserve">, </w:t>
      </w:r>
      <w:r w:rsidR="008D2A15" w:rsidRPr="00BE7F1E">
        <w:rPr>
          <w:rFonts w:ascii="PermianSerifTypeface" w:eastAsia="Arial Unicode MS" w:hAnsi="PermianSerifTypeface"/>
          <w:bCs/>
          <w:lang w:val="ro-RO"/>
        </w:rPr>
        <w:t>certificatele de salariu pentru</w:t>
      </w:r>
      <w:r w:rsidR="00CA2F1D" w:rsidRPr="00C04F4A">
        <w:rPr>
          <w:lang w:val="pt-BR"/>
        </w:rPr>
        <w:t xml:space="preserve"> </w:t>
      </w:r>
      <w:r w:rsidR="00CA2F1D" w:rsidRPr="00BE7F1E">
        <w:rPr>
          <w:rFonts w:ascii="PermianSerifTypeface" w:eastAsia="Arial Unicode MS" w:hAnsi="PermianSerifTypeface"/>
          <w:bCs/>
          <w:lang w:val="ro-RO"/>
        </w:rPr>
        <w:t>funcționarii publici cu statut special conform prevederilor legii nr.288/2016 privind funcționarul public cu statut special din cadrul Ministerului Afacerilor Interne</w:t>
      </w:r>
      <w:r w:rsidR="008D2A15" w:rsidRPr="00BE7F1E">
        <w:rPr>
          <w:rFonts w:ascii="PermianSerifTypeface" w:eastAsia="Arial Unicode MS" w:hAnsi="PermianSerifTypeface"/>
          <w:bCs/>
          <w:lang w:val="ro-RO"/>
        </w:rPr>
        <w:t xml:space="preserve">, </w:t>
      </w:r>
      <w:r w:rsidR="00323A25" w:rsidRPr="00BE7F1E">
        <w:rPr>
          <w:rFonts w:ascii="PermianSerifTypeface" w:eastAsia="Arial Unicode MS" w:hAnsi="PermianSerifTypeface"/>
          <w:bCs/>
          <w:lang w:val="ro-RO"/>
        </w:rPr>
        <w:t xml:space="preserve">precum și veniturile confirmate în baza documentelor primare cu regim special prevăzute în Hotărârea Guvernului nr.294/1998 cu privire la executarea Decretului </w:t>
      </w:r>
      <w:proofErr w:type="spellStart"/>
      <w:r w:rsidR="00323A25" w:rsidRPr="00BE7F1E">
        <w:rPr>
          <w:rFonts w:ascii="PermianSerifTypeface" w:eastAsia="Arial Unicode MS" w:hAnsi="PermianSerifTypeface"/>
          <w:bCs/>
          <w:lang w:val="ro-RO"/>
        </w:rPr>
        <w:t>Preşedintelui</w:t>
      </w:r>
      <w:proofErr w:type="spellEnd"/>
      <w:r w:rsidR="00323A25" w:rsidRPr="00BE7F1E">
        <w:rPr>
          <w:rFonts w:ascii="PermianSerifTypeface" w:eastAsia="Arial Unicode MS" w:hAnsi="PermianSerifTypeface"/>
          <w:bCs/>
          <w:lang w:val="ro-RO"/>
        </w:rPr>
        <w:t xml:space="preserve"> Republicii Moldova nr.406-II</w:t>
      </w:r>
      <w:r w:rsidR="00391E95" w:rsidRPr="00BE7F1E">
        <w:rPr>
          <w:rFonts w:ascii="PermianSerifTypeface" w:eastAsia="Arial Unicode MS" w:hAnsi="PermianSerifTypeface"/>
          <w:bCs/>
          <w:lang w:val="ro-RO"/>
        </w:rPr>
        <w:t>/</w:t>
      </w:r>
      <w:r w:rsidR="00323A25" w:rsidRPr="00BE7F1E">
        <w:rPr>
          <w:rFonts w:ascii="PermianSerifTypeface" w:eastAsia="Arial Unicode MS" w:hAnsi="PermianSerifTypeface"/>
          <w:bCs/>
          <w:lang w:val="ro-RO"/>
        </w:rPr>
        <w:t>1997</w:t>
      </w:r>
      <w:r w:rsidR="00287F9A" w:rsidRPr="00BE7F1E">
        <w:rPr>
          <w:rFonts w:ascii="PermianSerifTypeface" w:eastAsia="Arial Unicode MS" w:hAnsi="PermianSerifTypeface"/>
          <w:bCs/>
          <w:lang w:val="ro-RO"/>
        </w:rPr>
        <w:t xml:space="preserve">. </w:t>
      </w:r>
    </w:p>
    <w:p w14:paraId="5D42E613" w14:textId="3CB6E93F" w:rsidR="00B97B36" w:rsidRPr="00BE7F1E" w:rsidRDefault="00B97B36" w:rsidP="0049779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activitate de întreprinzător desfășurată </w:t>
      </w:r>
      <w:r w:rsidR="007E7C37" w:rsidRPr="00BE7F1E">
        <w:rPr>
          <w:rFonts w:ascii="PermianSerifTypeface" w:eastAsia="Arial Unicode MS" w:hAnsi="PermianSerifTypeface"/>
          <w:bCs/>
          <w:lang w:val="ro-RO"/>
        </w:rPr>
        <w:t>–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orice activitate desfășurată </w:t>
      </w:r>
      <w:r w:rsidR="0090234D" w:rsidRPr="00BE7F1E">
        <w:rPr>
          <w:rFonts w:ascii="PermianSerifTypeface" w:eastAsia="Arial Unicode MS" w:hAnsi="PermianSerifTypeface"/>
          <w:bCs/>
          <w:lang w:val="ro-RO"/>
        </w:rPr>
        <w:t>potrivit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 prevederilor legislației în vigoare, inclusiv care includ</w:t>
      </w:r>
      <w:r w:rsidR="00170380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criteriile de bază desprinse din </w:t>
      </w:r>
      <w:r w:rsidR="00461F93" w:rsidRPr="00BE7F1E">
        <w:rPr>
          <w:rFonts w:ascii="PermianSerifTypeface" w:eastAsia="Arial Unicode MS" w:hAnsi="PermianSerifTypeface"/>
          <w:bCs/>
          <w:lang w:val="ro-RO"/>
        </w:rPr>
        <w:t>C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odul </w:t>
      </w:r>
      <w:r w:rsidR="001A2A63" w:rsidRPr="00BE7F1E">
        <w:rPr>
          <w:rFonts w:ascii="PermianSerifTypeface" w:eastAsia="Arial Unicode MS" w:hAnsi="PermianSerifTypeface"/>
          <w:bCs/>
          <w:lang w:val="ro-RO"/>
        </w:rPr>
        <w:t>C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ivil nr.1107/2002, </w:t>
      </w:r>
      <w:r w:rsidR="00461F93" w:rsidRPr="00BE7F1E">
        <w:rPr>
          <w:rFonts w:ascii="PermianSerifTypeface" w:eastAsia="Arial Unicode MS" w:hAnsi="PermianSerifTypeface"/>
          <w:bCs/>
          <w:lang w:val="ro-RO"/>
        </w:rPr>
        <w:t>C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odul </w:t>
      </w:r>
      <w:r w:rsidR="001A2A63" w:rsidRPr="00BE7F1E">
        <w:rPr>
          <w:rFonts w:ascii="PermianSerifTypeface" w:eastAsia="Arial Unicode MS" w:hAnsi="PermianSerifTypeface"/>
          <w:bCs/>
          <w:lang w:val="ro-RO"/>
        </w:rPr>
        <w:t>F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iscal nr.1163/1997, </w:t>
      </w:r>
      <w:r w:rsidR="00461F93" w:rsidRPr="00BE7F1E">
        <w:rPr>
          <w:rFonts w:ascii="PermianSerifTypeface" w:eastAsia="Arial Unicode MS" w:hAnsi="PermianSerifTypeface"/>
          <w:bCs/>
          <w:lang w:val="ro-RO"/>
        </w:rPr>
        <w:t>L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egea </w:t>
      </w:r>
      <w:r w:rsidR="00461F93" w:rsidRPr="00BE7F1E">
        <w:rPr>
          <w:rFonts w:ascii="PermianSerifTypeface" w:eastAsia="Arial Unicode MS" w:hAnsi="PermianSerifTypeface"/>
          <w:bCs/>
          <w:lang w:val="ro-RO"/>
        </w:rPr>
        <w:t xml:space="preserve">nr.845/1992 </w:t>
      </w:r>
      <w:r w:rsidRPr="00BE7F1E">
        <w:rPr>
          <w:rFonts w:ascii="PermianSerifTypeface" w:eastAsia="Arial Unicode MS" w:hAnsi="PermianSerifTypeface"/>
          <w:bCs/>
          <w:lang w:val="ro-RO"/>
        </w:rPr>
        <w:t xml:space="preserve">cu privire la </w:t>
      </w:r>
      <w:proofErr w:type="spellStart"/>
      <w:r w:rsidRPr="00BE7F1E">
        <w:rPr>
          <w:rFonts w:ascii="PermianSerifTypeface" w:eastAsia="Arial Unicode MS" w:hAnsi="PermianSerifTypeface"/>
          <w:bCs/>
          <w:lang w:val="ro-RO"/>
        </w:rPr>
        <w:t>antreprenoriat</w:t>
      </w:r>
      <w:proofErr w:type="spellEnd"/>
      <w:r w:rsidRPr="00BE7F1E">
        <w:rPr>
          <w:rFonts w:ascii="PermianSerifTypeface" w:eastAsia="Arial Unicode MS" w:hAnsi="PermianSerifTypeface"/>
          <w:bCs/>
          <w:lang w:val="ro-RO"/>
        </w:rPr>
        <w:t xml:space="preserve"> și</w:t>
      </w:r>
      <w:r w:rsidR="007E7C37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Pr="00BE7F1E">
        <w:rPr>
          <w:rFonts w:ascii="PermianSerifTypeface" w:eastAsia="Arial Unicode MS" w:hAnsi="PermianSerifTypeface"/>
          <w:bCs/>
          <w:lang w:val="ro-RO"/>
        </w:rPr>
        <w:t>întreprinderi:</w:t>
      </w:r>
    </w:p>
    <w:p w14:paraId="0A63BE82" w14:textId="548E4000" w:rsidR="00B97B36" w:rsidRPr="00BE7F1E" w:rsidRDefault="00E153F7" w:rsidP="0049779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60" w:after="60"/>
        <w:ind w:left="993" w:hanging="426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>a</w:t>
      </w:r>
      <w:r w:rsidR="00B97B36" w:rsidRPr="00BE7F1E">
        <w:rPr>
          <w:rFonts w:ascii="PermianSerifTypeface" w:eastAsia="Arial Unicode MS" w:hAnsi="PermianSerifTypeface"/>
          <w:bCs/>
          <w:lang w:val="ro-RO"/>
        </w:rPr>
        <w:t>ctivitate de fabricare bunuri/executare lucrări/prestare servicii;</w:t>
      </w:r>
    </w:p>
    <w:p w14:paraId="2F9043D7" w14:textId="3BE024FD" w:rsidR="00B97B36" w:rsidRPr="00BE7F1E" w:rsidRDefault="00E153F7" w:rsidP="0049779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60" w:after="60"/>
        <w:ind w:left="993" w:hanging="426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>a</w:t>
      </w:r>
      <w:r w:rsidR="00B97B36" w:rsidRPr="00BE7F1E">
        <w:rPr>
          <w:rFonts w:ascii="PermianSerifTypeface" w:eastAsia="Arial Unicode MS" w:hAnsi="PermianSerifTypeface"/>
          <w:bCs/>
          <w:lang w:val="ro-RO"/>
        </w:rPr>
        <w:t xml:space="preserve">ctivitatea </w:t>
      </w:r>
      <w:r w:rsidR="0090234D" w:rsidRPr="00BE7F1E">
        <w:rPr>
          <w:rFonts w:ascii="PermianSerifTypeface" w:eastAsia="Arial Unicode MS" w:hAnsi="PermianSerifTypeface"/>
          <w:bCs/>
          <w:lang w:val="ro-RO"/>
        </w:rPr>
        <w:t xml:space="preserve">care </w:t>
      </w:r>
      <w:r w:rsidR="00B97B36" w:rsidRPr="00BE7F1E">
        <w:rPr>
          <w:rFonts w:ascii="PermianSerifTypeface" w:eastAsia="Arial Unicode MS" w:hAnsi="PermianSerifTypeface"/>
          <w:bCs/>
          <w:lang w:val="ro-RO"/>
        </w:rPr>
        <w:t>are drept scop asigurarea unei surse permanente de venituri (obținerea de venituri);</w:t>
      </w:r>
    </w:p>
    <w:p w14:paraId="4EB02B07" w14:textId="501EF053" w:rsidR="00C74724" w:rsidRPr="00BE7F1E" w:rsidRDefault="00E153F7" w:rsidP="0049779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60" w:after="60"/>
        <w:ind w:left="993" w:hanging="426"/>
        <w:rPr>
          <w:rFonts w:ascii="PermianSerifTypeface" w:eastAsia="Arial Unicode MS" w:hAnsi="PermianSerifTypeface"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>a</w:t>
      </w:r>
      <w:r w:rsidR="00B97B36" w:rsidRPr="00BE7F1E">
        <w:rPr>
          <w:rFonts w:ascii="PermianSerifTypeface" w:eastAsia="Arial Unicode MS" w:hAnsi="PermianSerifTypeface"/>
          <w:bCs/>
          <w:lang w:val="ro-RO"/>
        </w:rPr>
        <w:t>ctivitatea desfășurată în mod independent, sub proprie</w:t>
      </w:r>
      <w:r w:rsidR="00AA7F29" w:rsidRPr="00BE7F1E">
        <w:rPr>
          <w:rFonts w:ascii="PermianSerifTypeface" w:eastAsia="Arial Unicode MS" w:hAnsi="PermianSerifTypeface"/>
          <w:bCs/>
          <w:lang w:val="ro-RO"/>
        </w:rPr>
        <w:t xml:space="preserve"> </w:t>
      </w:r>
      <w:r w:rsidR="00F95BC9" w:rsidRPr="00BE7F1E">
        <w:rPr>
          <w:rFonts w:ascii="PermianSerifTypeface" w:eastAsia="Arial Unicode MS" w:hAnsi="PermianSerifTypeface"/>
          <w:bCs/>
          <w:lang w:val="ro-RO"/>
        </w:rPr>
        <w:t>responsabilitate</w:t>
      </w:r>
      <w:r w:rsidR="00B97B36" w:rsidRPr="00BE7F1E">
        <w:rPr>
          <w:rFonts w:ascii="PermianSerifTypeface" w:eastAsia="Arial Unicode MS" w:hAnsi="PermianSerifTypeface"/>
          <w:bCs/>
          <w:lang w:val="ro-RO"/>
        </w:rPr>
        <w:t>;</w:t>
      </w:r>
    </w:p>
    <w:p w14:paraId="55D500E4" w14:textId="4DF68335" w:rsidR="007E7C37" w:rsidRPr="00BE7F1E" w:rsidRDefault="00E153F7" w:rsidP="00497793">
      <w:pPr>
        <w:pStyle w:val="ListParagraph"/>
        <w:numPr>
          <w:ilvl w:val="0"/>
          <w:numId w:val="30"/>
        </w:numPr>
        <w:ind w:left="993" w:hanging="426"/>
        <w:rPr>
          <w:rFonts w:ascii="PermianSerifTypeface" w:hAnsi="PermianSerifTypeface"/>
          <w:b/>
          <w:bCs/>
          <w:lang w:val="ro-RO"/>
        </w:rPr>
      </w:pPr>
      <w:r w:rsidRPr="00BE7F1E">
        <w:rPr>
          <w:rFonts w:ascii="PermianSerifTypeface" w:eastAsia="Arial Unicode MS" w:hAnsi="PermianSerifTypeface"/>
          <w:bCs/>
          <w:lang w:val="ro-RO"/>
        </w:rPr>
        <w:t>a</w:t>
      </w:r>
      <w:r w:rsidR="00B97B36" w:rsidRPr="00BE7F1E">
        <w:rPr>
          <w:rFonts w:ascii="PermianSerifTypeface" w:eastAsia="Arial Unicode MS" w:hAnsi="PermianSerifTypeface"/>
          <w:bCs/>
          <w:lang w:val="ro-RO"/>
        </w:rPr>
        <w:t>ctivitate înregistrată sub formă de întreprindere individuală sau în alte moduri prevăzute de lege</w:t>
      </w:r>
      <w:r w:rsidR="0090234D" w:rsidRPr="00BE7F1E">
        <w:rPr>
          <w:rFonts w:ascii="PermianSerifTypeface" w:eastAsia="Arial Unicode MS" w:hAnsi="PermianSerifTypeface"/>
          <w:bCs/>
          <w:lang w:val="ro-RO"/>
        </w:rPr>
        <w:t>.</w:t>
      </w:r>
    </w:p>
    <w:p w14:paraId="6829B65E" w14:textId="77777777" w:rsidR="00C74724" w:rsidRPr="00BE7F1E" w:rsidRDefault="00C74724" w:rsidP="00EA6274">
      <w:pPr>
        <w:autoSpaceDE w:val="0"/>
        <w:autoSpaceDN w:val="0"/>
        <w:adjustRightInd w:val="0"/>
        <w:spacing w:before="60" w:after="60"/>
        <w:rPr>
          <w:rFonts w:ascii="PermianSerifTypeface" w:hAnsi="PermianSerifTypeface"/>
          <w:b/>
          <w:bCs/>
          <w:lang w:val="ro-RO"/>
        </w:rPr>
      </w:pPr>
    </w:p>
    <w:p w14:paraId="08E6EF39" w14:textId="6798B376" w:rsidR="005D254A" w:rsidRPr="00BE7F1E" w:rsidRDefault="00997180" w:rsidP="00497793">
      <w:pPr>
        <w:autoSpaceDE w:val="0"/>
        <w:autoSpaceDN w:val="0"/>
        <w:adjustRightInd w:val="0"/>
        <w:spacing w:before="60" w:after="240"/>
        <w:rPr>
          <w:rFonts w:ascii="PermianSerifTypeface" w:hAnsi="PermianSerifTypeface"/>
          <w:b/>
          <w:bCs/>
          <w:lang w:val="ro-RO"/>
        </w:rPr>
      </w:pPr>
      <w:r w:rsidRPr="00BE7F1E">
        <w:rPr>
          <w:rFonts w:ascii="PermianSerifTypeface" w:hAnsi="PermianSerifTypeface"/>
          <w:b/>
          <w:bCs/>
          <w:lang w:val="ro-RO"/>
        </w:rPr>
        <w:t xml:space="preserve">Capitolul </w:t>
      </w:r>
      <w:r w:rsidR="00AB4C6B" w:rsidRPr="00BE7F1E">
        <w:rPr>
          <w:rFonts w:ascii="PermianSerifTypeface" w:hAnsi="PermianSerifTypeface"/>
          <w:b/>
          <w:bCs/>
          <w:lang w:val="ro-RO"/>
        </w:rPr>
        <w:t>III</w:t>
      </w:r>
      <w:r w:rsidR="005D254A" w:rsidRPr="00BE7F1E">
        <w:rPr>
          <w:rFonts w:ascii="PermianSerifTypeface" w:hAnsi="PermianSerifTypeface"/>
          <w:b/>
          <w:bCs/>
          <w:lang w:val="ro-RO"/>
        </w:rPr>
        <w:t xml:space="preserve">. </w:t>
      </w:r>
      <w:r w:rsidR="00420A53" w:rsidRPr="00BE7F1E">
        <w:rPr>
          <w:rFonts w:ascii="PermianSerifTypeface" w:hAnsi="PermianSerifTypeface"/>
          <w:b/>
          <w:bCs/>
          <w:lang w:val="ro-RO"/>
        </w:rPr>
        <w:t xml:space="preserve">CREDITAREA </w:t>
      </w:r>
      <w:r w:rsidR="00196A75" w:rsidRPr="00BE7F1E">
        <w:rPr>
          <w:rFonts w:ascii="PermianSerifTypeface" w:hAnsi="PermianSerifTypeface"/>
          <w:b/>
          <w:bCs/>
          <w:lang w:val="ro-RO"/>
        </w:rPr>
        <w:t>RESPONSABILĂ</w:t>
      </w:r>
    </w:p>
    <w:p w14:paraId="20098AE0" w14:textId="50231B1E" w:rsidR="003E75F2" w:rsidRPr="00BE7F1E" w:rsidRDefault="003E75F2" w:rsidP="00497793">
      <w:pPr>
        <w:spacing w:after="240"/>
        <w:rPr>
          <w:rFonts w:ascii="PermianSerifTypeface" w:eastAsia="Arial Unicode MS" w:hAnsi="PermianSerifTypeface"/>
          <w:b/>
          <w:bCs/>
          <w:i/>
          <w:lang w:val="ro-MD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Secțiunea 1. </w:t>
      </w:r>
      <w:r w:rsidRPr="00BE7F1E">
        <w:rPr>
          <w:rFonts w:ascii="PermianSerifTypeface" w:eastAsia="Arial Unicode MS" w:hAnsi="PermianSerifTypeface"/>
          <w:b/>
          <w:bCs/>
          <w:i/>
          <w:lang w:val="ro-MD"/>
        </w:rPr>
        <w:t xml:space="preserve">Principiile de creditare </w:t>
      </w:r>
      <w:r w:rsidR="00196A75" w:rsidRPr="00BE7F1E">
        <w:rPr>
          <w:rFonts w:ascii="PermianSerifTypeface" w:eastAsia="Arial Unicode MS" w:hAnsi="PermianSerifTypeface"/>
          <w:b/>
          <w:bCs/>
          <w:i/>
          <w:lang w:val="ro-MD"/>
        </w:rPr>
        <w:t>responsabilă</w:t>
      </w:r>
    </w:p>
    <w:p w14:paraId="5AE184DD" w14:textId="31F37B81" w:rsidR="00923DC8" w:rsidRPr="00BE7F1E" w:rsidRDefault="00420A53" w:rsidP="00EA6274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0" w:firstLine="0"/>
        <w:rPr>
          <w:rFonts w:ascii="PermianSerifTypeface" w:hAnsi="PermianSerifTypeface"/>
          <w:lang w:val="ro-RO" w:eastAsia="ru-RU"/>
        </w:rPr>
      </w:pPr>
      <w:r w:rsidRPr="00BE7F1E">
        <w:rPr>
          <w:rFonts w:ascii="PermianSerifTypeface" w:hAnsi="PermianSerifTypeface"/>
          <w:bCs/>
          <w:lang w:val="ro-RO"/>
        </w:rPr>
        <w:t xml:space="preserve">Creditarea </w:t>
      </w:r>
      <w:r w:rsidR="00196A75" w:rsidRPr="00BE7F1E">
        <w:rPr>
          <w:rFonts w:ascii="PermianSerifTypeface" w:hAnsi="PermianSerifTypeface"/>
          <w:bCs/>
          <w:lang w:val="ro-RO"/>
        </w:rPr>
        <w:t xml:space="preserve">responsabilă </w:t>
      </w:r>
      <w:r w:rsidRPr="00BE7F1E">
        <w:rPr>
          <w:rFonts w:ascii="PermianSerifTypeface" w:hAnsi="PermianSerifTypeface"/>
          <w:bCs/>
          <w:lang w:val="ro-RO"/>
        </w:rPr>
        <w:t xml:space="preserve">reprezintă </w:t>
      </w:r>
      <w:bookmarkStart w:id="3" w:name="_Hlk75944661"/>
      <w:bookmarkStart w:id="4" w:name="_Hlk183180448"/>
      <w:r w:rsidRPr="00BE7F1E">
        <w:rPr>
          <w:rFonts w:ascii="PermianSerifTypeface" w:hAnsi="PermianSerifTypeface"/>
          <w:bCs/>
          <w:lang w:val="ro-RO"/>
        </w:rPr>
        <w:t xml:space="preserve">activitatea de creditare, în cadrul căreia </w:t>
      </w:r>
      <w:r w:rsidR="00B5537D" w:rsidRPr="00BE7F1E">
        <w:rPr>
          <w:rFonts w:ascii="PermianSerifTypeface" w:hAnsi="PermianSerifTypeface"/>
          <w:bCs/>
          <w:lang w:val="ro-RO"/>
        </w:rPr>
        <w:t>creditorul</w:t>
      </w:r>
      <w:r w:rsidRPr="00BE7F1E">
        <w:rPr>
          <w:rFonts w:ascii="PermianSerifTypeface" w:hAnsi="PermianSerifTypeface"/>
          <w:bCs/>
          <w:lang w:val="ro-RO"/>
        </w:rPr>
        <w:t xml:space="preserve"> efectuează o evaluare a bonității </w:t>
      </w:r>
      <w:r w:rsidR="003B571A" w:rsidRPr="00BE7F1E">
        <w:rPr>
          <w:rFonts w:ascii="PermianSerifTypeface" w:hAnsi="PermianSerifTypeface"/>
          <w:bCs/>
          <w:lang w:val="ro-RO"/>
        </w:rPr>
        <w:t>consumatorului</w:t>
      </w:r>
      <w:r w:rsidRPr="00BE7F1E">
        <w:rPr>
          <w:rFonts w:ascii="PermianSerifTypeface" w:hAnsi="PermianSerifTypeface"/>
          <w:bCs/>
          <w:lang w:val="ro-RO"/>
        </w:rPr>
        <w:t xml:space="preserve">, nu își asumă un </w:t>
      </w:r>
      <w:r w:rsidRPr="00BE7F1E">
        <w:rPr>
          <w:rFonts w:ascii="PermianSerifTypeface" w:hAnsi="PermianSerifTypeface"/>
          <w:lang w:val="ro-RO"/>
        </w:rPr>
        <w:t xml:space="preserve">risc </w:t>
      </w:r>
      <w:r w:rsidR="00B03922" w:rsidRPr="00BE7F1E">
        <w:rPr>
          <w:rFonts w:ascii="PermianSerifTypeface" w:hAnsi="PermianSerifTypeface"/>
          <w:lang w:val="ro-RO"/>
        </w:rPr>
        <w:t>ridicat</w:t>
      </w:r>
      <w:r w:rsidR="00B03922" w:rsidRPr="00BE7F1E">
        <w:rPr>
          <w:rFonts w:ascii="PermianSerifTypeface" w:hAnsi="PermianSerifTypeface"/>
          <w:bCs/>
          <w:lang w:val="ro-RO"/>
        </w:rPr>
        <w:t xml:space="preserve"> </w:t>
      </w:r>
      <w:r w:rsidRPr="00BE7F1E">
        <w:rPr>
          <w:rFonts w:ascii="PermianSerifTypeface" w:hAnsi="PermianSerifTypeface"/>
          <w:bCs/>
          <w:lang w:val="ro-RO"/>
        </w:rPr>
        <w:t xml:space="preserve">de credit, nu permite </w:t>
      </w:r>
      <w:r w:rsidR="003B571A" w:rsidRPr="00BE7F1E">
        <w:rPr>
          <w:rFonts w:ascii="PermianSerifTypeface" w:hAnsi="PermianSerifTypeface"/>
          <w:bCs/>
          <w:lang w:val="ro-RO"/>
        </w:rPr>
        <w:t xml:space="preserve">consumatorului </w:t>
      </w:r>
      <w:r w:rsidRPr="00BE7F1E">
        <w:rPr>
          <w:rFonts w:ascii="PermianSerifTypeface" w:hAnsi="PermianSerifTypeface"/>
          <w:bCs/>
          <w:lang w:val="ro-RO"/>
        </w:rPr>
        <w:t>să își asume</w:t>
      </w:r>
      <w:r w:rsidR="00076159" w:rsidRPr="00BE7F1E">
        <w:rPr>
          <w:rFonts w:ascii="PermianSerifTypeface" w:hAnsi="PermianSerifTypeface"/>
          <w:bCs/>
          <w:lang w:val="ro-RO"/>
        </w:rPr>
        <w:t>,</w:t>
      </w:r>
      <w:r w:rsidRPr="00BE7F1E">
        <w:rPr>
          <w:rFonts w:ascii="PermianSerifTypeface" w:hAnsi="PermianSerifTypeface"/>
          <w:bCs/>
          <w:lang w:val="ro-RO"/>
        </w:rPr>
        <w:t xml:space="preserve"> </w:t>
      </w:r>
      <w:r w:rsidR="00076159" w:rsidRPr="00BE7F1E">
        <w:rPr>
          <w:rFonts w:ascii="PermianSerifTypeface" w:hAnsi="PermianSerifTypeface"/>
          <w:bCs/>
          <w:lang w:val="ro-RO"/>
        </w:rPr>
        <w:t xml:space="preserve">în temeiul contractelor de credit, </w:t>
      </w:r>
      <w:r w:rsidRPr="00BE7F1E">
        <w:rPr>
          <w:rFonts w:ascii="PermianSerifTypeface" w:hAnsi="PermianSerifTypeface"/>
          <w:bCs/>
          <w:lang w:val="ro-RO"/>
        </w:rPr>
        <w:t xml:space="preserve">obligații financiare </w:t>
      </w:r>
      <w:r w:rsidR="004B0367" w:rsidRPr="00BE7F1E">
        <w:rPr>
          <w:rFonts w:ascii="PermianSerifTypeface" w:hAnsi="PermianSerifTypeface"/>
          <w:bCs/>
          <w:lang w:val="ro-RO"/>
        </w:rPr>
        <w:t xml:space="preserve">care excedează capacitatea sa financiară de rambursare </w:t>
      </w:r>
      <w:r w:rsidRPr="00BE7F1E">
        <w:rPr>
          <w:rFonts w:ascii="PermianSerifTypeface" w:hAnsi="PermianSerifTypeface"/>
          <w:bCs/>
          <w:lang w:val="ro-RO"/>
        </w:rPr>
        <w:t>și nu contribuie la acumul</w:t>
      </w:r>
      <w:r w:rsidR="002A5BBC" w:rsidRPr="00BE7F1E">
        <w:rPr>
          <w:rFonts w:ascii="PermianSerifTypeface" w:hAnsi="PermianSerifTypeface"/>
          <w:bCs/>
          <w:lang w:val="ro-RO"/>
        </w:rPr>
        <w:t>a</w:t>
      </w:r>
      <w:r w:rsidRPr="00BE7F1E">
        <w:rPr>
          <w:rFonts w:ascii="PermianSerifTypeface" w:hAnsi="PermianSerifTypeface"/>
          <w:bCs/>
          <w:lang w:val="ro-RO"/>
        </w:rPr>
        <w:t>r</w:t>
      </w:r>
      <w:r w:rsidR="002A5BBC" w:rsidRPr="00BE7F1E">
        <w:rPr>
          <w:rFonts w:ascii="PermianSerifTypeface" w:hAnsi="PermianSerifTypeface"/>
          <w:bCs/>
          <w:lang w:val="ro-RO"/>
        </w:rPr>
        <w:t>ea</w:t>
      </w:r>
      <w:r w:rsidR="00A60E03" w:rsidRPr="00BE7F1E">
        <w:rPr>
          <w:rFonts w:ascii="PermianSerifTypeface" w:hAnsi="PermianSerifTypeface"/>
          <w:bCs/>
          <w:lang w:val="ro-RO"/>
        </w:rPr>
        <w:t xml:space="preserve"> </w:t>
      </w:r>
      <w:r w:rsidR="00B03922" w:rsidRPr="00BE7F1E">
        <w:rPr>
          <w:rFonts w:ascii="PermianSerifTypeface" w:hAnsi="PermianSerifTypeface"/>
          <w:lang w:val="ro-RO"/>
        </w:rPr>
        <w:t xml:space="preserve">rapidă </w:t>
      </w:r>
      <w:r w:rsidR="00A60E03" w:rsidRPr="00BE7F1E">
        <w:rPr>
          <w:rFonts w:ascii="PermianSerifTypeface" w:hAnsi="PermianSerifTypeface"/>
          <w:lang w:val="ro-RO"/>
        </w:rPr>
        <w:t>a</w:t>
      </w:r>
      <w:r w:rsidRPr="00BE7F1E">
        <w:rPr>
          <w:rFonts w:ascii="PermianSerifTypeface" w:hAnsi="PermianSerifTypeface"/>
          <w:bCs/>
          <w:lang w:val="ro-RO"/>
        </w:rPr>
        <w:t xml:space="preserve"> </w:t>
      </w:r>
      <w:r w:rsidR="002A5BBC" w:rsidRPr="00BE7F1E">
        <w:rPr>
          <w:rFonts w:ascii="PermianSerifTypeface" w:hAnsi="PermianSerifTypeface"/>
          <w:bCs/>
          <w:lang w:val="ro-RO"/>
        </w:rPr>
        <w:t>gradului de îndatorare</w:t>
      </w:r>
      <w:r w:rsidR="00FB2A08" w:rsidRPr="00BE7F1E">
        <w:rPr>
          <w:rFonts w:ascii="PermianSerifTypeface" w:hAnsi="PermianSerifTypeface"/>
          <w:bCs/>
          <w:lang w:val="ro-RO"/>
        </w:rPr>
        <w:t xml:space="preserve"> a </w:t>
      </w:r>
      <w:bookmarkEnd w:id="3"/>
      <w:r w:rsidR="00076159" w:rsidRPr="00BE7F1E">
        <w:rPr>
          <w:rFonts w:ascii="PermianSerifTypeface" w:hAnsi="PermianSerifTypeface"/>
          <w:bCs/>
          <w:lang w:val="ro-RO"/>
        </w:rPr>
        <w:t>consumatorilor</w:t>
      </w:r>
      <w:r w:rsidR="00AC1335" w:rsidRPr="00BE7F1E">
        <w:rPr>
          <w:rFonts w:ascii="PermianSerifTypeface" w:hAnsi="PermianSerifTypeface"/>
          <w:bCs/>
          <w:lang w:val="ro-RO"/>
        </w:rPr>
        <w:t>.</w:t>
      </w:r>
      <w:r w:rsidR="00AC1335" w:rsidRPr="00BE7F1E">
        <w:rPr>
          <w:rFonts w:ascii="PermianSerifTypeface" w:hAnsi="PermianSerifTypeface"/>
          <w:lang w:val="ro-RO" w:eastAsia="ru-RU"/>
        </w:rPr>
        <w:t xml:space="preserve"> </w:t>
      </w:r>
      <w:bookmarkEnd w:id="4"/>
    </w:p>
    <w:p w14:paraId="2563BEEB" w14:textId="75509680" w:rsidR="00923DC8" w:rsidRPr="00BE7F1E" w:rsidRDefault="000C7A37" w:rsidP="00EA6274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0" w:firstLine="0"/>
        <w:rPr>
          <w:rFonts w:ascii="PermianSerifTypeface" w:hAnsi="PermianSerifTypeface"/>
          <w:lang w:val="ro-RO" w:eastAsia="ru-RU"/>
        </w:rPr>
      </w:pPr>
      <w:bookmarkStart w:id="5" w:name="_Ref103242122"/>
      <w:r w:rsidRPr="00BE7F1E">
        <w:rPr>
          <w:rFonts w:ascii="PermianSerifTypeface" w:hAnsi="PermianSerifTypeface"/>
          <w:lang w:val="ro-RO"/>
        </w:rPr>
        <w:t xml:space="preserve">Anterior încheierii contractului </w:t>
      </w:r>
      <w:r w:rsidR="00596BA2" w:rsidRPr="00BE7F1E">
        <w:rPr>
          <w:rFonts w:ascii="PermianSerifTypeface" w:hAnsi="PermianSerifTypeface"/>
          <w:lang w:val="ro-RO"/>
        </w:rPr>
        <w:t xml:space="preserve">de credit </w:t>
      </w:r>
      <w:r w:rsidRPr="00BE7F1E">
        <w:rPr>
          <w:rFonts w:ascii="PermianSerifTypeface" w:hAnsi="PermianSerifTypeface"/>
          <w:lang w:val="ro-RO"/>
        </w:rPr>
        <w:t xml:space="preserve">cu </w:t>
      </w:r>
      <w:r w:rsidR="003B571A" w:rsidRPr="00BE7F1E">
        <w:rPr>
          <w:rFonts w:ascii="PermianSerifTypeface" w:hAnsi="PermianSerifTypeface"/>
          <w:lang w:val="ro-RO"/>
        </w:rPr>
        <w:t>consumator</w:t>
      </w:r>
      <w:r w:rsidRPr="00BE7F1E">
        <w:rPr>
          <w:rFonts w:ascii="PermianSerifTypeface" w:hAnsi="PermianSerifTypeface"/>
          <w:lang w:val="ro-RO"/>
        </w:rPr>
        <w:t>ul</w:t>
      </w:r>
      <w:r w:rsidR="00914658" w:rsidRPr="00BE7F1E">
        <w:rPr>
          <w:rFonts w:ascii="PermianSerifTypeface" w:hAnsi="PermianSerifTypeface"/>
          <w:lang w:val="ro-RO"/>
        </w:rPr>
        <w:t>,</w:t>
      </w:r>
      <w:r w:rsidR="001D7409" w:rsidRPr="00BE7F1E">
        <w:rPr>
          <w:rFonts w:ascii="PermianSerifTypeface" w:hAnsi="PermianSerifTypeface"/>
          <w:lang w:val="ro-RO"/>
        </w:rPr>
        <w:t xml:space="preserve"> </w:t>
      </w:r>
      <w:r w:rsidR="00914658" w:rsidRPr="00BE7F1E">
        <w:rPr>
          <w:rFonts w:ascii="PermianSerifTypeface" w:hAnsi="PermianSerifTypeface"/>
          <w:lang w:val="ro-RO"/>
        </w:rPr>
        <w:t xml:space="preserve">creditorul </w:t>
      </w:r>
      <w:r w:rsidR="001D7409" w:rsidRPr="00BE7F1E">
        <w:rPr>
          <w:rFonts w:ascii="PermianSerifTypeface" w:hAnsi="PermianSerifTypeface"/>
          <w:lang w:val="ro-RO"/>
        </w:rPr>
        <w:t>trebuie</w:t>
      </w:r>
      <w:r w:rsidR="00AC1335" w:rsidRPr="00BE7F1E">
        <w:rPr>
          <w:rFonts w:ascii="PermianSerifTypeface" w:hAnsi="PermianSerifTypeface"/>
          <w:lang w:val="ro-RO"/>
        </w:rPr>
        <w:t>:</w:t>
      </w:r>
      <w:bookmarkEnd w:id="5"/>
    </w:p>
    <w:p w14:paraId="642B4B9B" w14:textId="7F7DDB82" w:rsidR="00AB7DEE" w:rsidRPr="00BE7F1E" w:rsidRDefault="005B2AC7" w:rsidP="0049779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hAnsi="PermianSerifTypeface"/>
          <w:lang w:val="ro-RO" w:eastAsia="ru-RU"/>
        </w:rPr>
      </w:pPr>
      <w:r w:rsidRPr="00BE7F1E">
        <w:rPr>
          <w:rFonts w:ascii="PermianSerifTypeface" w:hAnsi="PermianSerifTypeface"/>
          <w:lang w:val="ro-RO"/>
        </w:rPr>
        <w:t>să</w:t>
      </w:r>
      <w:r w:rsidR="00B421E6" w:rsidRPr="00BE7F1E">
        <w:rPr>
          <w:rFonts w:ascii="PermianSerifTypeface" w:hAnsi="PermianSerifTypeface"/>
          <w:lang w:val="ro-RO"/>
        </w:rPr>
        <w:t xml:space="preserve"> evalu</w:t>
      </w:r>
      <w:r w:rsidRPr="00BE7F1E">
        <w:rPr>
          <w:rFonts w:ascii="PermianSerifTypeface" w:hAnsi="PermianSerifTypeface"/>
          <w:lang w:val="ro-RO"/>
        </w:rPr>
        <w:t xml:space="preserve">eze </w:t>
      </w:r>
      <w:r w:rsidR="00B421E6" w:rsidRPr="00BE7F1E">
        <w:rPr>
          <w:rFonts w:ascii="PermianSerifTypeface" w:hAnsi="PermianSerifTypeface"/>
          <w:lang w:val="ro-RO"/>
        </w:rPr>
        <w:t xml:space="preserve">bonitatea </w:t>
      </w:r>
      <w:r w:rsidR="003B571A" w:rsidRPr="00BE7F1E">
        <w:rPr>
          <w:rFonts w:ascii="PermianSerifTypeface" w:hAnsi="PermianSerifTypeface"/>
          <w:lang w:val="ro-RO"/>
        </w:rPr>
        <w:t>consumatorului</w:t>
      </w:r>
      <w:r w:rsidR="00B421E6" w:rsidRPr="00BE7F1E">
        <w:rPr>
          <w:rFonts w:ascii="PermianSerifTypeface" w:hAnsi="PermianSerifTypeface"/>
          <w:lang w:val="ro-RO"/>
        </w:rPr>
        <w:t xml:space="preserve">, bazându-se pe </w:t>
      </w:r>
      <w:r w:rsidR="00F3433B" w:rsidRPr="00BE7F1E">
        <w:rPr>
          <w:rFonts w:ascii="PermianSerifTypeface" w:hAnsi="PermianSerifTypeface"/>
          <w:lang w:val="ro-RO"/>
        </w:rPr>
        <w:t xml:space="preserve">informații din surse oficiale </w:t>
      </w:r>
      <w:r w:rsidR="009954FB" w:rsidRPr="00BE7F1E">
        <w:rPr>
          <w:rFonts w:ascii="PermianSerifTypeface" w:hAnsi="PermianSerifTypeface"/>
          <w:lang w:val="ro-RO"/>
        </w:rPr>
        <w:t>care să documenteze veniturile confirmate</w:t>
      </w:r>
      <w:r w:rsidR="00CE7D8A" w:rsidRPr="00BE7F1E">
        <w:rPr>
          <w:rFonts w:ascii="PermianSerifTypeface" w:hAnsi="PermianSerifTypeface"/>
          <w:lang w:val="ro-RO"/>
        </w:rPr>
        <w:t xml:space="preserve">, obligațiile </w:t>
      </w:r>
      <w:r w:rsidR="00D51542" w:rsidRPr="00BE7F1E">
        <w:rPr>
          <w:rFonts w:ascii="PermianSerifTypeface" w:hAnsi="PermianSerifTypeface"/>
          <w:lang w:val="ro-RO"/>
        </w:rPr>
        <w:t>de credit asumate și pe alte informații disponibile creditorului care pot afecta bonitatea consumatorului</w:t>
      </w:r>
      <w:r w:rsidR="001D7409" w:rsidRPr="00BE7F1E">
        <w:rPr>
          <w:rFonts w:ascii="PermianSerifTypeface" w:hAnsi="PermianSerifTypeface"/>
          <w:lang w:val="ro-RO"/>
        </w:rPr>
        <w:t xml:space="preserve">, în conformitate cu Secțiunea </w:t>
      </w:r>
      <w:r w:rsidR="00D22D17" w:rsidRPr="00BE7F1E">
        <w:rPr>
          <w:rFonts w:ascii="PermianSerifTypeface" w:hAnsi="PermianSerifTypeface"/>
          <w:lang w:val="ro-RO"/>
        </w:rPr>
        <w:t>2</w:t>
      </w:r>
      <w:r w:rsidR="00F42AFE" w:rsidRPr="00BE7F1E">
        <w:rPr>
          <w:rFonts w:ascii="PermianSerifTypeface" w:hAnsi="PermianSerifTypeface"/>
          <w:lang w:val="ro-RO"/>
        </w:rPr>
        <w:t xml:space="preserve"> </w:t>
      </w:r>
      <w:r w:rsidR="00F42AFE" w:rsidRPr="00BE7F1E">
        <w:rPr>
          <w:rFonts w:ascii="PermianSerifTypeface" w:eastAsia="Arial Unicode MS" w:hAnsi="PermianSerifTypeface"/>
          <w:bCs/>
          <w:lang w:val="ro-MD"/>
        </w:rPr>
        <w:t>din Capitolul III</w:t>
      </w:r>
      <w:r w:rsidR="00B421E6" w:rsidRPr="00BE7F1E">
        <w:rPr>
          <w:rFonts w:ascii="PermianSerifTypeface" w:hAnsi="PermianSerifTypeface"/>
          <w:lang w:val="ro-RO"/>
        </w:rPr>
        <w:t>;</w:t>
      </w:r>
    </w:p>
    <w:p w14:paraId="710E3B60" w14:textId="2C28D7D7" w:rsidR="00795075" w:rsidRPr="00BE7F1E" w:rsidRDefault="00CE7D8A" w:rsidP="0049779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hAnsi="PermianSerifTypeface"/>
          <w:lang w:val="ro-RO" w:eastAsia="ru-RU"/>
        </w:rPr>
      </w:pPr>
      <w:r w:rsidRPr="00BE7F1E">
        <w:rPr>
          <w:rFonts w:ascii="PermianSerifTypeface" w:hAnsi="PermianSerifTypeface"/>
          <w:lang w:val="ro-RO"/>
        </w:rPr>
        <w:t>să se bazeze cu preponderență pe principiul prevenirii oricăror întârzier</w:t>
      </w:r>
      <w:r w:rsidR="004919ED" w:rsidRPr="00BE7F1E">
        <w:rPr>
          <w:rFonts w:ascii="PermianSerifTypeface" w:hAnsi="PermianSerifTypeface"/>
          <w:lang w:val="ro-RO"/>
        </w:rPr>
        <w:t>i</w:t>
      </w:r>
      <w:r w:rsidRPr="00BE7F1E">
        <w:rPr>
          <w:rFonts w:ascii="PermianSerifTypeface" w:hAnsi="PermianSerifTypeface"/>
          <w:lang w:val="ro-RO"/>
        </w:rPr>
        <w:t xml:space="preserve"> în efectuarea plăților, a nerambursării creditelor sau a întârzierilor în exercitarea drepturilor de gaj;</w:t>
      </w:r>
    </w:p>
    <w:p w14:paraId="2C0D8973" w14:textId="547BAF94" w:rsidR="00AE36F2" w:rsidRPr="00BE7F1E" w:rsidRDefault="00AE36F2" w:rsidP="0049779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567" w:hanging="283"/>
        <w:rPr>
          <w:rFonts w:ascii="PermianSerifTypeface" w:hAnsi="PermianSerifTypeface"/>
          <w:lang w:val="ro-RO" w:eastAsia="ru-RU"/>
        </w:rPr>
      </w:pPr>
      <w:r w:rsidRPr="00BE7F1E">
        <w:rPr>
          <w:rFonts w:ascii="PermianSerifTypeface" w:hAnsi="PermianSerifTypeface"/>
          <w:lang w:val="ro-RO"/>
        </w:rPr>
        <w:t xml:space="preserve">să se bazeze primordial pe principiul rambursării creditului din venitul </w:t>
      </w:r>
      <w:r w:rsidR="005C0B7F" w:rsidRPr="00BE7F1E">
        <w:rPr>
          <w:rFonts w:ascii="PermianSerifTypeface" w:hAnsi="PermianSerifTypeface"/>
          <w:lang w:val="ro-RO"/>
        </w:rPr>
        <w:t xml:space="preserve">confirmat al </w:t>
      </w:r>
      <w:r w:rsidR="004859B9" w:rsidRPr="00BE7F1E">
        <w:rPr>
          <w:rFonts w:ascii="PermianSerifTypeface" w:hAnsi="PermianSerifTypeface"/>
          <w:lang w:val="ro-RO"/>
        </w:rPr>
        <w:t xml:space="preserve">consumatorului </w:t>
      </w:r>
      <w:r w:rsidRPr="00BE7F1E">
        <w:rPr>
          <w:rFonts w:ascii="PermianSerifTypeface" w:hAnsi="PermianSerifTypeface"/>
          <w:lang w:val="ro-RO"/>
        </w:rPr>
        <w:t xml:space="preserve">și nu pe recuperarea forțată din </w:t>
      </w:r>
      <w:r w:rsidR="00076159" w:rsidRPr="00BE7F1E">
        <w:rPr>
          <w:rFonts w:ascii="PermianSerifTypeface" w:hAnsi="PermianSerifTypeface"/>
          <w:lang w:val="ro-RO"/>
        </w:rPr>
        <w:t xml:space="preserve">contul </w:t>
      </w:r>
      <w:r w:rsidRPr="00BE7F1E">
        <w:rPr>
          <w:rFonts w:ascii="PermianSerifTypeface" w:hAnsi="PermianSerifTypeface"/>
          <w:lang w:val="ro-RO"/>
        </w:rPr>
        <w:t>bunul</w:t>
      </w:r>
      <w:r w:rsidR="00076159" w:rsidRPr="00BE7F1E">
        <w:rPr>
          <w:rFonts w:ascii="PermianSerifTypeface" w:hAnsi="PermianSerifTypeface"/>
          <w:lang w:val="ro-RO"/>
        </w:rPr>
        <w:t>ui</w:t>
      </w:r>
      <w:r w:rsidRPr="00BE7F1E">
        <w:rPr>
          <w:rFonts w:ascii="PermianSerifTypeface" w:hAnsi="PermianSerifTypeface"/>
          <w:lang w:val="ro-RO"/>
        </w:rPr>
        <w:t xml:space="preserve"> </w:t>
      </w:r>
      <w:r w:rsidRPr="00BE7F1E">
        <w:rPr>
          <w:rFonts w:ascii="PermianSerifTypeface" w:hAnsi="PermianSerifTypeface"/>
          <w:lang w:val="ro-RO"/>
        </w:rPr>
        <w:lastRenderedPageBreak/>
        <w:t>gajat sau din contul modificări</w:t>
      </w:r>
      <w:r w:rsidR="00076159" w:rsidRPr="00BE7F1E">
        <w:rPr>
          <w:rFonts w:ascii="PermianSerifTypeface" w:hAnsi="PermianSerifTypeface"/>
          <w:lang w:val="ro-RO"/>
        </w:rPr>
        <w:t>i</w:t>
      </w:r>
      <w:r w:rsidRPr="00BE7F1E">
        <w:rPr>
          <w:rFonts w:ascii="PermianSerifTypeface" w:hAnsi="PermianSerifTypeface"/>
          <w:lang w:val="ro-RO"/>
        </w:rPr>
        <w:t xml:space="preserve"> valorii bunului gajat</w:t>
      </w:r>
      <w:r w:rsidR="00795075" w:rsidRPr="00BE7F1E">
        <w:rPr>
          <w:rFonts w:ascii="PermianSerifTypeface" w:hAnsi="PermianSerifTypeface"/>
          <w:lang w:val="ro-RO"/>
        </w:rPr>
        <w:t xml:space="preserve"> sau din contul altor active ale consumatorului</w:t>
      </w:r>
      <w:r w:rsidRPr="00BE7F1E">
        <w:rPr>
          <w:rFonts w:ascii="PermianSerifTypeface" w:hAnsi="PermianSerifTypeface"/>
          <w:lang w:val="ro-RO"/>
        </w:rPr>
        <w:t>;</w:t>
      </w:r>
    </w:p>
    <w:p w14:paraId="628BBBA4" w14:textId="10D0C48C" w:rsidR="00923DC8" w:rsidRPr="00BE7F1E" w:rsidRDefault="00923DC8" w:rsidP="00497793">
      <w:pPr>
        <w:pStyle w:val="ListParagraph"/>
        <w:numPr>
          <w:ilvl w:val="0"/>
          <w:numId w:val="8"/>
        </w:numPr>
        <w:ind w:left="567" w:hanging="283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să se asigure că</w:t>
      </w:r>
      <w:r w:rsidR="002A6445">
        <w:rPr>
          <w:rFonts w:ascii="PermianSerifTypeface" w:hAnsi="PermianSerifTypeface"/>
          <w:lang w:val="ro-RO"/>
        </w:rPr>
        <w:t>,</w:t>
      </w:r>
      <w:r w:rsidRPr="00BE7F1E">
        <w:rPr>
          <w:rFonts w:ascii="PermianSerifTypeface" w:hAnsi="PermianSerifTypeface"/>
          <w:lang w:val="ro-RO"/>
        </w:rPr>
        <w:t xml:space="preserve"> capacitatea </w:t>
      </w:r>
      <w:r w:rsidR="004859B9" w:rsidRPr="00BE7F1E">
        <w:rPr>
          <w:rFonts w:ascii="PermianSerifTypeface" w:hAnsi="PermianSerifTypeface"/>
          <w:lang w:val="ro-RO"/>
        </w:rPr>
        <w:t xml:space="preserve">consumatorului </w:t>
      </w:r>
      <w:r w:rsidRPr="00BE7F1E">
        <w:rPr>
          <w:rFonts w:ascii="PermianSerifTypeface" w:hAnsi="PermianSerifTypeface"/>
          <w:lang w:val="ro-RO"/>
        </w:rPr>
        <w:t xml:space="preserve">de a-și îndeplini obligațiile în temeiul contractului de credit nu se bazează pe așteptări </w:t>
      </w:r>
      <w:r w:rsidR="008B3C0A" w:rsidRPr="00BE7F1E">
        <w:rPr>
          <w:rFonts w:ascii="PermianSerifTypeface" w:hAnsi="PermianSerifTypeface"/>
          <w:lang w:val="ro-RO"/>
        </w:rPr>
        <w:t xml:space="preserve">privind </w:t>
      </w:r>
      <w:r w:rsidRPr="00BE7F1E">
        <w:rPr>
          <w:rFonts w:ascii="PermianSerifTypeface" w:hAnsi="PermianSerifTypeface"/>
          <w:lang w:val="ro-RO"/>
        </w:rPr>
        <w:t xml:space="preserve">creșterea sursei de venit a </w:t>
      </w:r>
      <w:r w:rsidR="004859B9" w:rsidRPr="00BE7F1E">
        <w:rPr>
          <w:rFonts w:ascii="PermianSerifTypeface" w:hAnsi="PermianSerifTypeface"/>
          <w:lang w:val="ro-RO"/>
        </w:rPr>
        <w:t>consumatorului</w:t>
      </w:r>
      <w:r w:rsidR="007868C7" w:rsidRPr="00BE7F1E">
        <w:rPr>
          <w:rFonts w:ascii="PermianSerifTypeface" w:hAnsi="PermianSerifTypeface"/>
          <w:lang w:val="ro-RO"/>
        </w:rPr>
        <w:t>;</w:t>
      </w:r>
    </w:p>
    <w:p w14:paraId="4478A8B1" w14:textId="0DC67A9C" w:rsidR="00B421E6" w:rsidRPr="00BE7F1E" w:rsidRDefault="001D7409" w:rsidP="00497793">
      <w:pPr>
        <w:pStyle w:val="ListParagraph"/>
        <w:numPr>
          <w:ilvl w:val="0"/>
          <w:numId w:val="8"/>
        </w:numPr>
        <w:ind w:left="567" w:hanging="283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să </w:t>
      </w:r>
      <w:r w:rsidR="008B3C0A" w:rsidRPr="00BE7F1E">
        <w:rPr>
          <w:rFonts w:ascii="PermianSerifTypeface" w:hAnsi="PermianSerifTypeface"/>
          <w:lang w:val="ro-RO"/>
        </w:rPr>
        <w:t xml:space="preserve">efectueze </w:t>
      </w:r>
      <w:r w:rsidRPr="00BE7F1E">
        <w:rPr>
          <w:rFonts w:ascii="PermianSerifTypeface" w:hAnsi="PermianSerifTypeface"/>
          <w:lang w:val="ro-RO"/>
        </w:rPr>
        <w:t>evalu</w:t>
      </w:r>
      <w:r w:rsidR="008B3C0A" w:rsidRPr="00BE7F1E">
        <w:rPr>
          <w:rFonts w:ascii="PermianSerifTypeface" w:hAnsi="PermianSerifTypeface"/>
          <w:lang w:val="ro-RO"/>
        </w:rPr>
        <w:t>ările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9E6A7E" w:rsidRPr="00BE7F1E">
        <w:rPr>
          <w:rFonts w:ascii="PermianSerifTypeface" w:hAnsi="PermianSerifTypeface"/>
          <w:lang w:val="ro-RO"/>
        </w:rPr>
        <w:t>în mod obiectiv</w:t>
      </w:r>
      <w:r w:rsidR="00124DF6" w:rsidRPr="00BE7F1E">
        <w:rPr>
          <w:rFonts w:ascii="PermianSerifTypeface" w:hAnsi="PermianSerifTypeface"/>
          <w:lang w:val="ro-RO"/>
        </w:rPr>
        <w:t>,</w:t>
      </w:r>
      <w:r w:rsidR="009E6A7E" w:rsidRPr="00BE7F1E">
        <w:rPr>
          <w:rFonts w:ascii="PermianSerifTypeface" w:hAnsi="PermianSerifTypeface"/>
          <w:lang w:val="ro-RO"/>
        </w:rPr>
        <w:t xml:space="preserve"> </w:t>
      </w:r>
      <w:r w:rsidR="008B3C0A" w:rsidRPr="00BE7F1E">
        <w:rPr>
          <w:rFonts w:ascii="PermianSerifTypeface" w:hAnsi="PermianSerifTypeface"/>
          <w:lang w:val="ro-RO"/>
        </w:rPr>
        <w:t>bazându-se pe</w:t>
      </w:r>
      <w:r w:rsidR="00B421E6" w:rsidRPr="00BE7F1E">
        <w:rPr>
          <w:rFonts w:ascii="PermianSerifTypeface" w:hAnsi="PermianSerifTypeface"/>
          <w:lang w:val="ro-RO"/>
        </w:rPr>
        <w:t xml:space="preserve"> informațiile utilizate pentru evaluarea bonității, </w:t>
      </w:r>
      <w:r w:rsidR="00D51542" w:rsidRPr="00BE7F1E">
        <w:rPr>
          <w:rFonts w:ascii="PermianSerifTypeface" w:hAnsi="PermianSerifTypeface"/>
          <w:lang w:val="ro-RO"/>
        </w:rPr>
        <w:t>ținând cont de</w:t>
      </w:r>
      <w:r w:rsidR="00CE7D8A" w:rsidRPr="00BE7F1E">
        <w:rPr>
          <w:rFonts w:ascii="PermianSerifTypeface" w:hAnsi="PermianSerifTypeface"/>
          <w:lang w:val="ro-RO"/>
        </w:rPr>
        <w:t xml:space="preserve"> </w:t>
      </w:r>
      <w:r w:rsidR="00B421E6" w:rsidRPr="00BE7F1E">
        <w:rPr>
          <w:rFonts w:ascii="PermianSerifTypeface" w:hAnsi="PermianSerifTypeface"/>
          <w:lang w:val="ro-RO"/>
        </w:rPr>
        <w:t xml:space="preserve">sustenabilitatea veniturilor </w:t>
      </w:r>
      <w:r w:rsidR="004859B9" w:rsidRPr="00BE7F1E">
        <w:rPr>
          <w:rFonts w:ascii="PermianSerifTypeface" w:hAnsi="PermianSerifTypeface"/>
          <w:lang w:val="ro-RO"/>
        </w:rPr>
        <w:t>consumatorului</w:t>
      </w:r>
      <w:r w:rsidR="00B421E6" w:rsidRPr="00BE7F1E">
        <w:rPr>
          <w:rFonts w:ascii="PermianSerifTypeface" w:hAnsi="PermianSerifTypeface"/>
          <w:lang w:val="ro-RO"/>
        </w:rPr>
        <w:t xml:space="preserve">, istoria de credit, </w:t>
      </w:r>
      <w:r w:rsidR="008F3B09" w:rsidRPr="00BE7F1E">
        <w:rPr>
          <w:rFonts w:ascii="PermianSerifTypeface" w:hAnsi="PermianSerifTypeface"/>
          <w:lang w:val="ro-RO"/>
        </w:rPr>
        <w:t>factorii obiectivi privind diminuarea</w:t>
      </w:r>
      <w:r w:rsidR="00B421E6" w:rsidRPr="00BE7F1E">
        <w:rPr>
          <w:rFonts w:ascii="PermianSerifTypeface" w:hAnsi="PermianSerifTypeface"/>
          <w:lang w:val="ro-RO"/>
        </w:rPr>
        <w:t xml:space="preserve"> veniturilor și toate obligațiile financiare existente</w:t>
      </w:r>
      <w:r w:rsidR="00C77CD3" w:rsidRPr="00BE7F1E">
        <w:rPr>
          <w:rFonts w:ascii="PermianSerifTypeface" w:hAnsi="PermianSerifTypeface"/>
          <w:lang w:val="ro-RO"/>
        </w:rPr>
        <w:t xml:space="preserve"> cunoscute creditorului</w:t>
      </w:r>
      <w:r w:rsidR="00B421E6" w:rsidRPr="00BE7F1E">
        <w:rPr>
          <w:rFonts w:ascii="PermianSerifTypeface" w:hAnsi="PermianSerifTypeface"/>
          <w:lang w:val="ro-RO"/>
        </w:rPr>
        <w:t>;</w:t>
      </w:r>
    </w:p>
    <w:p w14:paraId="26D66057" w14:textId="751885A4" w:rsidR="00AC1335" w:rsidRPr="00BE7F1E" w:rsidRDefault="00B421E6" w:rsidP="00497793">
      <w:pPr>
        <w:pStyle w:val="ListParagraph"/>
        <w:numPr>
          <w:ilvl w:val="0"/>
          <w:numId w:val="8"/>
        </w:numPr>
        <w:ind w:left="567" w:hanging="283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în cazul creditelor </w:t>
      </w:r>
      <w:r w:rsidR="007F0548" w:rsidRPr="00BE7F1E">
        <w:rPr>
          <w:rFonts w:ascii="PermianSerifTypeface" w:hAnsi="PermianSerifTypeface"/>
          <w:lang w:val="ro-RO"/>
        </w:rPr>
        <w:t xml:space="preserve">pentru investiții </w:t>
      </w:r>
      <w:r w:rsidRPr="00BE7F1E">
        <w:rPr>
          <w:rFonts w:ascii="PermianSerifTypeface" w:hAnsi="PermianSerifTypeface"/>
          <w:lang w:val="ro-RO"/>
        </w:rPr>
        <w:t xml:space="preserve">imobiliare, </w:t>
      </w:r>
      <w:r w:rsidR="005B2AC7" w:rsidRPr="00BE7F1E">
        <w:rPr>
          <w:rFonts w:ascii="PermianSerifTypeface" w:hAnsi="PermianSerifTypeface"/>
          <w:lang w:val="ro-RO"/>
        </w:rPr>
        <w:t xml:space="preserve">să </w:t>
      </w:r>
      <w:r w:rsidRPr="00BE7F1E">
        <w:rPr>
          <w:rFonts w:ascii="PermianSerifTypeface" w:hAnsi="PermianSerifTypeface"/>
          <w:lang w:val="ro-RO"/>
        </w:rPr>
        <w:t>se bazez</w:t>
      </w:r>
      <w:r w:rsidR="005B2AC7" w:rsidRPr="00BE7F1E">
        <w:rPr>
          <w:rFonts w:ascii="PermianSerifTypeface" w:hAnsi="PermianSerifTypeface"/>
          <w:lang w:val="ro-RO"/>
        </w:rPr>
        <w:t>e pe</w:t>
      </w:r>
      <w:r w:rsidRPr="00BE7F1E">
        <w:rPr>
          <w:rFonts w:ascii="PermianSerifTypeface" w:hAnsi="PermianSerifTypeface"/>
          <w:lang w:val="ro-RO"/>
        </w:rPr>
        <w:t xml:space="preserve"> limit</w:t>
      </w:r>
      <w:r w:rsidR="00D31E03" w:rsidRPr="00BE7F1E">
        <w:rPr>
          <w:rFonts w:ascii="PermianSerifTypeface" w:hAnsi="PermianSerifTypeface"/>
          <w:lang w:val="ro-RO"/>
        </w:rPr>
        <w:t>area</w:t>
      </w:r>
      <w:r w:rsidRPr="00BE7F1E">
        <w:rPr>
          <w:rFonts w:ascii="PermianSerifTypeface" w:hAnsi="PermianSerifTypeface"/>
          <w:lang w:val="ro-RO"/>
        </w:rPr>
        <w:t xml:space="preserve"> raportului dintre valoarea creditului și valoarea de piață sau prețul imobilului gajat, aplicând </w:t>
      </w:r>
      <w:r w:rsidR="00C77CD3" w:rsidRPr="00BE7F1E">
        <w:rPr>
          <w:rFonts w:ascii="PermianSerifTypeface" w:hAnsi="PermianSerifTypeface"/>
          <w:lang w:val="ro-RO"/>
        </w:rPr>
        <w:t>„</w:t>
      </w:r>
      <w:r w:rsidRPr="00BE7F1E">
        <w:rPr>
          <w:rFonts w:ascii="PermianSerifTypeface" w:hAnsi="PermianSerifTypeface"/>
          <w:lang w:val="ro-RO"/>
        </w:rPr>
        <w:t xml:space="preserve">raportul </w:t>
      </w:r>
      <w:r w:rsidR="007868C7" w:rsidRPr="00BE7F1E">
        <w:rPr>
          <w:rFonts w:ascii="PermianSerifTypeface" w:hAnsi="PermianSerifTypeface"/>
          <w:lang w:val="ro-RO"/>
        </w:rPr>
        <w:t xml:space="preserve">dintre </w:t>
      </w:r>
      <w:r w:rsidRPr="00BE7F1E">
        <w:rPr>
          <w:rFonts w:ascii="PermianSerifTypeface" w:hAnsi="PermianSerifTypeface"/>
          <w:lang w:val="ro-RO"/>
        </w:rPr>
        <w:t>credit</w:t>
      </w:r>
      <w:r w:rsidR="00C31C53" w:rsidRPr="00BE7F1E">
        <w:rPr>
          <w:rFonts w:ascii="PermianSerifTypeface" w:hAnsi="PermianSerifTypeface"/>
          <w:lang w:val="ro-RO"/>
        </w:rPr>
        <w:t>e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7868C7" w:rsidRPr="00BE7F1E">
        <w:rPr>
          <w:rFonts w:ascii="PermianSerifTypeface" w:hAnsi="PermianSerifTypeface"/>
          <w:lang w:val="ro-RO"/>
        </w:rPr>
        <w:t>și</w:t>
      </w:r>
      <w:r w:rsidRPr="00BE7F1E">
        <w:rPr>
          <w:rFonts w:ascii="PermianSerifTypeface" w:hAnsi="PermianSerifTypeface"/>
          <w:lang w:val="ro-RO"/>
        </w:rPr>
        <w:t xml:space="preserve"> garanții</w:t>
      </w:r>
      <w:r w:rsidR="00C77CD3" w:rsidRPr="00BE7F1E">
        <w:rPr>
          <w:rFonts w:ascii="PermianSerifTypeface" w:hAnsi="PermianSerifTypeface"/>
          <w:lang w:val="ro-RO"/>
        </w:rPr>
        <w:t>”</w:t>
      </w:r>
      <w:r w:rsidRPr="00BE7F1E">
        <w:rPr>
          <w:rFonts w:ascii="PermianSerifTypeface" w:hAnsi="PermianSerifTypeface"/>
          <w:lang w:val="ro-RO"/>
        </w:rPr>
        <w:t xml:space="preserve"> (RCG)</w:t>
      </w:r>
      <w:r w:rsidR="001D7409" w:rsidRPr="00BE7F1E">
        <w:rPr>
          <w:rFonts w:ascii="PermianSerifTypeface" w:hAnsi="PermianSerifTypeface"/>
          <w:lang w:val="ro-RO"/>
        </w:rPr>
        <w:t xml:space="preserve">, în conformitate cu Secțiunea </w:t>
      </w:r>
      <w:r w:rsidR="003E75F2" w:rsidRPr="00BE7F1E">
        <w:rPr>
          <w:rFonts w:ascii="PermianSerifTypeface" w:hAnsi="PermianSerifTypeface"/>
          <w:lang w:val="ro-RO"/>
        </w:rPr>
        <w:t>3</w:t>
      </w:r>
      <w:r w:rsidR="00F42AFE" w:rsidRPr="00BE7F1E">
        <w:rPr>
          <w:rFonts w:ascii="PermianSerifTypeface" w:eastAsia="Arial Unicode MS" w:hAnsi="PermianSerifTypeface"/>
          <w:bCs/>
          <w:lang w:val="ro-MD"/>
        </w:rPr>
        <w:t xml:space="preserve"> din Capitolul III</w:t>
      </w:r>
      <w:r w:rsidRPr="00BE7F1E">
        <w:rPr>
          <w:rFonts w:ascii="PermianSerifTypeface" w:hAnsi="PermianSerifTypeface"/>
          <w:lang w:val="ro-RO"/>
        </w:rPr>
        <w:t>;</w:t>
      </w:r>
    </w:p>
    <w:p w14:paraId="54795E12" w14:textId="7C736AA5" w:rsidR="00B421E6" w:rsidRPr="00BE7F1E" w:rsidRDefault="00832EC0" w:rsidP="00497793">
      <w:pPr>
        <w:pStyle w:val="ListParagraph"/>
        <w:numPr>
          <w:ilvl w:val="0"/>
          <w:numId w:val="8"/>
        </w:numPr>
        <w:ind w:left="567" w:hanging="283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să </w:t>
      </w:r>
      <w:r w:rsidR="00B421E6" w:rsidRPr="00BE7F1E">
        <w:rPr>
          <w:rFonts w:ascii="PermianSerifTypeface" w:hAnsi="PermianSerifTypeface"/>
          <w:lang w:val="ro-RO"/>
        </w:rPr>
        <w:t>se bazez</w:t>
      </w:r>
      <w:r w:rsidRPr="00BE7F1E">
        <w:rPr>
          <w:rFonts w:ascii="PermianSerifTypeface" w:hAnsi="PermianSerifTypeface"/>
          <w:lang w:val="ro-RO"/>
        </w:rPr>
        <w:t>e</w:t>
      </w:r>
      <w:r w:rsidR="00B421E6" w:rsidRPr="00BE7F1E">
        <w:rPr>
          <w:rFonts w:ascii="PermianSerifTypeface" w:hAnsi="PermianSerifTypeface"/>
          <w:lang w:val="ro-RO"/>
        </w:rPr>
        <w:t xml:space="preserve"> pe limit</w:t>
      </w:r>
      <w:r w:rsidR="00D31E03" w:rsidRPr="00BE7F1E">
        <w:rPr>
          <w:rFonts w:ascii="PermianSerifTypeface" w:hAnsi="PermianSerifTypeface"/>
          <w:lang w:val="ro-RO"/>
        </w:rPr>
        <w:t>area</w:t>
      </w:r>
      <w:r w:rsidR="00B421E6" w:rsidRPr="00BE7F1E">
        <w:rPr>
          <w:rFonts w:ascii="PermianSerifTypeface" w:hAnsi="PermianSerifTypeface"/>
          <w:lang w:val="ro-RO"/>
        </w:rPr>
        <w:t xml:space="preserve"> </w:t>
      </w:r>
      <w:r w:rsidR="00AD3DB7" w:rsidRPr="00BE7F1E">
        <w:rPr>
          <w:rFonts w:ascii="PermianSerifTypeface" w:hAnsi="PermianSerifTypeface"/>
          <w:lang w:val="ro-RO"/>
        </w:rPr>
        <w:t xml:space="preserve">raportului dintre serviciul datoriei și venituri, aplicând </w:t>
      </w:r>
      <w:r w:rsidR="00FB2A08" w:rsidRPr="00BE7F1E">
        <w:rPr>
          <w:rFonts w:ascii="PermianSerifTypeface" w:hAnsi="PermianSerifTypeface"/>
          <w:lang w:val="ro-RO"/>
        </w:rPr>
        <w:t>„</w:t>
      </w:r>
      <w:r w:rsidR="00B421E6" w:rsidRPr="00BE7F1E">
        <w:rPr>
          <w:rFonts w:ascii="PermianSerifTypeface" w:hAnsi="PermianSerifTypeface"/>
          <w:lang w:val="ro-RO"/>
        </w:rPr>
        <w:t xml:space="preserve">raportul </w:t>
      </w:r>
      <w:r w:rsidR="007868C7" w:rsidRPr="00BE7F1E">
        <w:rPr>
          <w:rFonts w:ascii="PermianSerifTypeface" w:hAnsi="PermianSerifTypeface"/>
          <w:lang w:val="ro-RO"/>
        </w:rPr>
        <w:t xml:space="preserve">dintre </w:t>
      </w:r>
      <w:r w:rsidR="00B421E6" w:rsidRPr="00BE7F1E">
        <w:rPr>
          <w:rFonts w:ascii="PermianSerifTypeface" w:hAnsi="PermianSerifTypeface"/>
          <w:lang w:val="ro-RO"/>
        </w:rPr>
        <w:t xml:space="preserve">serviciul datoriei </w:t>
      </w:r>
      <w:r w:rsidR="007868C7" w:rsidRPr="00BE7F1E">
        <w:rPr>
          <w:rFonts w:ascii="PermianSerifTypeface" w:hAnsi="PermianSerifTypeface"/>
          <w:lang w:val="ro-RO"/>
        </w:rPr>
        <w:t>și</w:t>
      </w:r>
      <w:r w:rsidR="00B421E6" w:rsidRPr="00BE7F1E">
        <w:rPr>
          <w:rFonts w:ascii="PermianSerifTypeface" w:hAnsi="PermianSerifTypeface"/>
          <w:lang w:val="ro-RO"/>
        </w:rPr>
        <w:t xml:space="preserve"> venituri</w:t>
      </w:r>
      <w:r w:rsidR="00FB2A08" w:rsidRPr="00BE7F1E">
        <w:rPr>
          <w:rFonts w:ascii="PermianSerifTypeface" w:hAnsi="PermianSerifTypeface"/>
          <w:lang w:val="ro-RO"/>
        </w:rPr>
        <w:t>”</w:t>
      </w:r>
      <w:r w:rsidR="00B421E6" w:rsidRPr="00BE7F1E">
        <w:rPr>
          <w:rFonts w:ascii="PermianSerifTypeface" w:hAnsi="PermianSerifTypeface"/>
          <w:lang w:val="ro-RO"/>
        </w:rPr>
        <w:t xml:space="preserve"> (RSDV)</w:t>
      </w:r>
      <w:r w:rsidR="001D7409" w:rsidRPr="00BE7F1E">
        <w:rPr>
          <w:rFonts w:ascii="PermianSerifTypeface" w:hAnsi="PermianSerifTypeface"/>
          <w:lang w:val="ro-RO"/>
        </w:rPr>
        <w:t xml:space="preserve">, în conformitate cu Secțiunea </w:t>
      </w:r>
      <w:r w:rsidR="003E75F2" w:rsidRPr="00BE7F1E">
        <w:rPr>
          <w:rFonts w:ascii="PermianSerifTypeface" w:hAnsi="PermianSerifTypeface"/>
          <w:lang w:val="ro-RO"/>
        </w:rPr>
        <w:t>4</w:t>
      </w:r>
      <w:r w:rsidR="00F42AFE" w:rsidRPr="00BE7F1E">
        <w:rPr>
          <w:rFonts w:ascii="PermianSerifTypeface" w:eastAsia="Arial Unicode MS" w:hAnsi="PermianSerifTypeface"/>
          <w:bCs/>
          <w:lang w:val="ro-MD"/>
        </w:rPr>
        <w:t xml:space="preserve"> din Capitolul III</w:t>
      </w:r>
      <w:r w:rsidR="00B421E6" w:rsidRPr="00BE7F1E">
        <w:rPr>
          <w:rFonts w:ascii="PermianSerifTypeface" w:hAnsi="PermianSerifTypeface"/>
          <w:lang w:val="ro-RO"/>
        </w:rPr>
        <w:t>;</w:t>
      </w:r>
    </w:p>
    <w:p w14:paraId="4F1AAC3C" w14:textId="7BD86137" w:rsidR="00B421E6" w:rsidRPr="00BE7F1E" w:rsidRDefault="001D7409" w:rsidP="00497793">
      <w:pPr>
        <w:pStyle w:val="ListParagraph"/>
        <w:numPr>
          <w:ilvl w:val="0"/>
          <w:numId w:val="8"/>
        </w:numPr>
        <w:ind w:left="567" w:hanging="283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să </w:t>
      </w:r>
      <w:r w:rsidR="00DD70B7" w:rsidRPr="00BE7F1E">
        <w:rPr>
          <w:rFonts w:ascii="PermianSerifTypeface" w:hAnsi="PermianSerifTypeface"/>
          <w:lang w:val="ro-RO"/>
        </w:rPr>
        <w:t xml:space="preserve">respecte </w:t>
      </w:r>
      <w:r w:rsidR="00B421E6" w:rsidRPr="00BE7F1E">
        <w:rPr>
          <w:rFonts w:ascii="PermianSerifTypeface" w:hAnsi="PermianSerifTypeface"/>
          <w:lang w:val="ro-RO"/>
        </w:rPr>
        <w:t>limitarea scadenței maxim</w:t>
      </w:r>
      <w:r w:rsidR="007868C7" w:rsidRPr="00BE7F1E">
        <w:rPr>
          <w:rFonts w:ascii="PermianSerifTypeface" w:hAnsi="PermianSerifTypeface"/>
          <w:lang w:val="ro-RO"/>
        </w:rPr>
        <w:t>e</w:t>
      </w:r>
      <w:r w:rsidR="00B421E6" w:rsidRPr="00BE7F1E">
        <w:rPr>
          <w:rFonts w:ascii="PermianSerifTypeface" w:hAnsi="PermianSerifTypeface"/>
          <w:lang w:val="ro-RO"/>
        </w:rPr>
        <w:t xml:space="preserve"> a creditului</w:t>
      </w:r>
      <w:r w:rsidR="004859B9" w:rsidRPr="00BE7F1E">
        <w:rPr>
          <w:rFonts w:ascii="PermianSerifTypeface" w:hAnsi="PermianSerifTypeface"/>
          <w:lang w:val="ro-RO"/>
        </w:rPr>
        <w:t xml:space="preserve">, în conformitate cu Secțiunea </w:t>
      </w:r>
      <w:r w:rsidR="003E75F2" w:rsidRPr="00BE7F1E">
        <w:rPr>
          <w:rFonts w:ascii="PermianSerifTypeface" w:hAnsi="PermianSerifTypeface"/>
          <w:lang w:val="ro-RO"/>
        </w:rPr>
        <w:t>5</w:t>
      </w:r>
      <w:r w:rsidR="00F42AFE" w:rsidRPr="00BE7F1E">
        <w:rPr>
          <w:rFonts w:ascii="PermianSerifTypeface" w:eastAsia="Arial Unicode MS" w:hAnsi="PermianSerifTypeface"/>
          <w:bCs/>
          <w:lang w:val="ro-MD"/>
        </w:rPr>
        <w:t xml:space="preserve"> din Capitolul III</w:t>
      </w:r>
      <w:r w:rsidR="00B421E6" w:rsidRPr="00BE7F1E">
        <w:rPr>
          <w:rFonts w:ascii="PermianSerifTypeface" w:hAnsi="PermianSerifTypeface"/>
          <w:lang w:val="ro-RO"/>
        </w:rPr>
        <w:t>;</w:t>
      </w:r>
    </w:p>
    <w:p w14:paraId="6F86478B" w14:textId="029106EF" w:rsidR="00A97DCD" w:rsidRPr="00BE7F1E" w:rsidRDefault="001D7409" w:rsidP="00497793">
      <w:pPr>
        <w:pStyle w:val="ListParagraph"/>
        <w:numPr>
          <w:ilvl w:val="0"/>
          <w:numId w:val="8"/>
        </w:numPr>
        <w:ind w:left="567" w:hanging="283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să asigure</w:t>
      </w:r>
      <w:r w:rsidR="00B421E6" w:rsidRPr="00BE7F1E">
        <w:rPr>
          <w:rFonts w:ascii="PermianSerifTypeface" w:hAnsi="PermianSerifTypeface"/>
          <w:lang w:val="ro-RO"/>
        </w:rPr>
        <w:t xml:space="preserve"> stabilirea</w:t>
      </w:r>
      <w:r w:rsidR="00870329" w:rsidRPr="00BE7F1E">
        <w:rPr>
          <w:rFonts w:ascii="PermianSerifTypeface" w:hAnsi="PermianSerifTypeface"/>
          <w:lang w:val="ro-RO"/>
        </w:rPr>
        <w:t xml:space="preserve"> graficului de rambursare a creditului</w:t>
      </w:r>
      <w:r w:rsidR="00B421E6" w:rsidRPr="00BE7F1E">
        <w:rPr>
          <w:rFonts w:ascii="PermianSerifTypeface" w:hAnsi="PermianSerifTypeface"/>
          <w:lang w:val="ro-RO"/>
        </w:rPr>
        <w:t xml:space="preserve"> </w:t>
      </w:r>
      <w:r w:rsidR="00870329" w:rsidRPr="00BE7F1E">
        <w:rPr>
          <w:rFonts w:ascii="PermianSerifTypeface" w:hAnsi="PermianSerifTypeface"/>
          <w:lang w:val="ro-RO"/>
        </w:rPr>
        <w:t xml:space="preserve">în </w:t>
      </w:r>
      <w:r w:rsidR="00B421E6" w:rsidRPr="00BE7F1E">
        <w:rPr>
          <w:rFonts w:ascii="PermianSerifTypeface" w:hAnsi="PermianSerifTypeface"/>
          <w:lang w:val="ro-RO"/>
        </w:rPr>
        <w:t>tranșe regulate și relativ egale</w:t>
      </w:r>
      <w:r w:rsidR="00FD2E2C" w:rsidRPr="00BE7F1E">
        <w:rPr>
          <w:rFonts w:ascii="PermianSerifTypeface" w:hAnsi="PermianSerifTypeface"/>
          <w:lang w:val="ro-RO"/>
        </w:rPr>
        <w:t xml:space="preserve">, în descreștere sau după caz, în concordanță cu periodicitatea obținerii veniturilor de către </w:t>
      </w:r>
      <w:r w:rsidR="00C93895" w:rsidRPr="00BE7F1E">
        <w:rPr>
          <w:rFonts w:ascii="PermianSerifTypeface" w:hAnsi="PermianSerifTypeface"/>
          <w:lang w:val="ro-RO"/>
        </w:rPr>
        <w:t>consumator</w:t>
      </w:r>
      <w:r w:rsidR="00B421E6" w:rsidRPr="00BE7F1E">
        <w:rPr>
          <w:rFonts w:ascii="PermianSerifTypeface" w:hAnsi="PermianSerifTypeface"/>
          <w:lang w:val="ro-RO"/>
        </w:rPr>
        <w:t>, fără amânarea plății principalului în apropierea scadenței creditului</w:t>
      </w:r>
      <w:r w:rsidR="00137A49" w:rsidRPr="00BE7F1E">
        <w:rPr>
          <w:rFonts w:ascii="PermianSerifTypeface" w:hAnsi="PermianSerifTypeface"/>
          <w:lang w:val="ro-RO"/>
        </w:rPr>
        <w:t>, în vederea evitării concentrării plăților și î</w:t>
      </w:r>
      <w:r w:rsidR="008E14F0" w:rsidRPr="00BE7F1E">
        <w:rPr>
          <w:rFonts w:ascii="PermianSerifTypeface" w:hAnsi="PermianSerifTypeface"/>
          <w:lang w:val="ro-RO"/>
        </w:rPr>
        <w:t>ndatoră</w:t>
      </w:r>
      <w:r w:rsidR="00137A49" w:rsidRPr="00BE7F1E">
        <w:rPr>
          <w:rFonts w:ascii="PermianSerifTypeface" w:hAnsi="PermianSerifTypeface"/>
          <w:lang w:val="ro-RO"/>
        </w:rPr>
        <w:t xml:space="preserve">rii excesive a </w:t>
      </w:r>
      <w:r w:rsidR="006B251D" w:rsidRPr="00BE7F1E">
        <w:rPr>
          <w:rFonts w:ascii="PermianSerifTypeface" w:hAnsi="PermianSerifTypeface"/>
          <w:lang w:val="ro-RO"/>
        </w:rPr>
        <w:t>consumatorului</w:t>
      </w:r>
      <w:r w:rsidR="00B421E6" w:rsidRPr="00BE7F1E">
        <w:rPr>
          <w:rFonts w:ascii="PermianSerifTypeface" w:hAnsi="PermianSerifTypeface"/>
          <w:lang w:val="ro-RO"/>
        </w:rPr>
        <w:t>.</w:t>
      </w:r>
    </w:p>
    <w:p w14:paraId="2770CA59" w14:textId="7B903CDC" w:rsidR="00A97DCD" w:rsidRPr="00BE7F1E" w:rsidRDefault="00A97DCD" w:rsidP="00EA6274">
      <w:pPr>
        <w:pStyle w:val="ListParagraph"/>
        <w:tabs>
          <w:tab w:val="left" w:pos="426"/>
        </w:tabs>
        <w:ind w:left="0"/>
        <w:rPr>
          <w:rFonts w:ascii="PermianSerifTypeface" w:hAnsi="PermianSerifTypeface"/>
          <w:lang w:val="ro-RO"/>
        </w:rPr>
      </w:pPr>
    </w:p>
    <w:p w14:paraId="06272D00" w14:textId="2ED68575" w:rsidR="004C6F35" w:rsidRPr="00BE7F1E" w:rsidRDefault="004C6F35" w:rsidP="00EA6274">
      <w:pPr>
        <w:rPr>
          <w:rFonts w:ascii="PermianSerifTypeface" w:eastAsia="Arial Unicode MS" w:hAnsi="PermianSerifTypeface"/>
          <w:b/>
          <w:bCs/>
          <w:i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Secțiunea </w:t>
      </w:r>
      <w:r w:rsidR="003E75F2" w:rsidRPr="00BE7F1E">
        <w:rPr>
          <w:rFonts w:ascii="PermianSerifTypeface" w:eastAsia="Arial Unicode MS" w:hAnsi="PermianSerifTypeface"/>
          <w:b/>
          <w:bCs/>
          <w:i/>
          <w:lang w:val="ro-RO"/>
        </w:rPr>
        <w:t>2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. Evaluarea bonității </w:t>
      </w:r>
      <w:r w:rsidR="006B251D" w:rsidRPr="00BE7F1E">
        <w:rPr>
          <w:rFonts w:ascii="PermianSerifTypeface" w:eastAsia="Arial Unicode MS" w:hAnsi="PermianSerifTypeface"/>
          <w:b/>
          <w:bCs/>
          <w:i/>
          <w:lang w:val="ro-RO"/>
        </w:rPr>
        <w:t>consumatorului</w:t>
      </w:r>
    </w:p>
    <w:p w14:paraId="7E87DDA8" w14:textId="77777777" w:rsidR="003410CF" w:rsidRPr="00BE7F1E" w:rsidRDefault="003410CF" w:rsidP="00EA6274">
      <w:pPr>
        <w:rPr>
          <w:rFonts w:ascii="PermianSerifTypeface" w:eastAsia="Arial Unicode MS" w:hAnsi="PermianSerifTypeface"/>
          <w:bCs/>
          <w:i/>
          <w:lang w:val="ro-RO"/>
        </w:rPr>
      </w:pPr>
    </w:p>
    <w:p w14:paraId="629499AA" w14:textId="11D51239" w:rsidR="004C6F35" w:rsidRPr="00BE7F1E" w:rsidRDefault="0013486E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Evaluarea bonității unui </w:t>
      </w:r>
      <w:r w:rsidR="000A23E9" w:rsidRPr="00BE7F1E">
        <w:rPr>
          <w:rFonts w:ascii="PermianSerifTypeface" w:hAnsi="PermianSerifTypeface"/>
          <w:lang w:val="ro-RO"/>
        </w:rPr>
        <w:t xml:space="preserve">consumator </w:t>
      </w:r>
      <w:r w:rsidRPr="00BE7F1E">
        <w:rPr>
          <w:rFonts w:ascii="PermianSerifTypeface" w:hAnsi="PermianSerifTypeface"/>
          <w:lang w:val="ro-RO"/>
        </w:rPr>
        <w:t xml:space="preserve">reprezintă </w:t>
      </w:r>
      <w:r w:rsidR="004C6F35" w:rsidRPr="00BE7F1E">
        <w:rPr>
          <w:rFonts w:ascii="PermianSerifTypeface" w:hAnsi="PermianSerifTypeface"/>
          <w:lang w:val="ro-RO"/>
        </w:rPr>
        <w:t xml:space="preserve">evaluarea capacității </w:t>
      </w:r>
      <w:r w:rsidR="006B251D" w:rsidRPr="00BE7F1E">
        <w:rPr>
          <w:rFonts w:ascii="PermianSerifTypeface" w:hAnsi="PermianSerifTypeface"/>
          <w:lang w:val="ro-RO"/>
        </w:rPr>
        <w:t xml:space="preserve">consumatorului </w:t>
      </w:r>
      <w:r w:rsidR="004C6F35" w:rsidRPr="00BE7F1E">
        <w:rPr>
          <w:rFonts w:ascii="PermianSerifTypeface" w:hAnsi="PermianSerifTypeface"/>
          <w:lang w:val="ro-RO"/>
        </w:rPr>
        <w:t>de asuma</w:t>
      </w:r>
      <w:r w:rsidR="001A2A63" w:rsidRPr="00BE7F1E">
        <w:rPr>
          <w:rFonts w:ascii="PermianSerifTypeface" w:hAnsi="PermianSerifTypeface"/>
          <w:lang w:val="ro-RO"/>
        </w:rPr>
        <w:t>re a unei</w:t>
      </w:r>
      <w:r w:rsidR="004C6F35" w:rsidRPr="00BE7F1E">
        <w:rPr>
          <w:rFonts w:ascii="PermianSerifTypeface" w:hAnsi="PermianSerifTypeface"/>
          <w:lang w:val="ro-RO"/>
        </w:rPr>
        <w:t xml:space="preserve"> anumit</w:t>
      </w:r>
      <w:r w:rsidR="001A2A63" w:rsidRPr="00BE7F1E">
        <w:rPr>
          <w:rFonts w:ascii="PermianSerifTypeface" w:hAnsi="PermianSerifTypeface"/>
          <w:lang w:val="ro-RO"/>
        </w:rPr>
        <w:t>e</w:t>
      </w:r>
      <w:r w:rsidR="004C6F35" w:rsidRPr="00BE7F1E">
        <w:rPr>
          <w:rFonts w:ascii="PermianSerifTypeface" w:hAnsi="PermianSerifTypeface"/>
          <w:lang w:val="ro-RO"/>
        </w:rPr>
        <w:t xml:space="preserve"> obligați</w:t>
      </w:r>
      <w:r w:rsidR="001A2A63" w:rsidRPr="00BE7F1E">
        <w:rPr>
          <w:rFonts w:ascii="PermianSerifTypeface" w:hAnsi="PermianSerifTypeface"/>
          <w:lang w:val="ro-RO"/>
        </w:rPr>
        <w:t>i</w:t>
      </w:r>
      <w:r w:rsidR="004C6F35" w:rsidRPr="00BE7F1E">
        <w:rPr>
          <w:rFonts w:ascii="PermianSerifTypeface" w:hAnsi="PermianSerifTypeface"/>
          <w:lang w:val="ro-RO"/>
        </w:rPr>
        <w:t xml:space="preserve"> în temeiul contractului de credit pe care </w:t>
      </w:r>
      <w:r w:rsidR="006B251D" w:rsidRPr="00BE7F1E">
        <w:rPr>
          <w:rFonts w:ascii="PermianSerifTypeface" w:hAnsi="PermianSerifTypeface"/>
          <w:lang w:val="ro-RO"/>
        </w:rPr>
        <w:t xml:space="preserve">consumatorul </w:t>
      </w:r>
      <w:r w:rsidR="004C6F35" w:rsidRPr="00BE7F1E">
        <w:rPr>
          <w:rFonts w:ascii="PermianSerifTypeface" w:hAnsi="PermianSerifTypeface"/>
          <w:lang w:val="ro-RO"/>
        </w:rPr>
        <w:t xml:space="preserve">ar putea să o onoreze împreună </w:t>
      </w:r>
      <w:r w:rsidR="00705BF7" w:rsidRPr="00BE7F1E">
        <w:rPr>
          <w:rFonts w:ascii="PermianSerifTypeface" w:hAnsi="PermianSerifTypeface"/>
          <w:lang w:val="ro-RO"/>
        </w:rPr>
        <w:t xml:space="preserve">cu </w:t>
      </w:r>
      <w:r w:rsidR="004C6F35" w:rsidRPr="00BE7F1E">
        <w:rPr>
          <w:rFonts w:ascii="PermianSerifTypeface" w:hAnsi="PermianSerifTypeface"/>
          <w:lang w:val="ro-RO"/>
        </w:rPr>
        <w:t xml:space="preserve">obligațiile </w:t>
      </w:r>
      <w:r w:rsidR="00AD3DB7" w:rsidRPr="00BE7F1E">
        <w:rPr>
          <w:rFonts w:ascii="PermianSerifTypeface" w:hAnsi="PermianSerifTypeface"/>
          <w:lang w:val="ro-RO"/>
        </w:rPr>
        <w:t>de credit</w:t>
      </w:r>
      <w:r w:rsidR="004C6F35" w:rsidRPr="00BE7F1E">
        <w:rPr>
          <w:rFonts w:ascii="PermianSerifTypeface" w:hAnsi="PermianSerifTypeface"/>
          <w:lang w:val="ro-RO"/>
        </w:rPr>
        <w:t xml:space="preserve"> asumate</w:t>
      </w:r>
      <w:r w:rsidR="00A60571" w:rsidRPr="00BE7F1E">
        <w:rPr>
          <w:rFonts w:ascii="PermianSerifTypeface" w:hAnsi="PermianSerifTypeface"/>
          <w:lang w:val="ro-RO"/>
        </w:rPr>
        <w:t xml:space="preserve"> anterior</w:t>
      </w:r>
      <w:r w:rsidR="004C6F35" w:rsidRPr="00BE7F1E">
        <w:rPr>
          <w:rFonts w:ascii="PermianSerifTypeface" w:hAnsi="PermianSerifTypeface"/>
          <w:lang w:val="ro-RO"/>
        </w:rPr>
        <w:t xml:space="preserve">. </w:t>
      </w:r>
    </w:p>
    <w:p w14:paraId="79D7E898" w14:textId="3EBC5EBB" w:rsidR="004C6F35" w:rsidRPr="00BE7F1E" w:rsidRDefault="004C6F35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Decizia creditorului de a acorda credit </w:t>
      </w:r>
      <w:r w:rsidR="00832EC0" w:rsidRPr="00BE7F1E">
        <w:rPr>
          <w:rFonts w:ascii="PermianSerifTypeface" w:hAnsi="PermianSerifTypeface"/>
          <w:lang w:val="ro-RO"/>
        </w:rPr>
        <w:t xml:space="preserve">trebuie să </w:t>
      </w:r>
      <w:r w:rsidRPr="00BE7F1E">
        <w:rPr>
          <w:rFonts w:ascii="PermianSerifTypeface" w:hAnsi="PermianSerifTypeface"/>
          <w:lang w:val="ro-RO"/>
        </w:rPr>
        <w:t>se baz</w:t>
      </w:r>
      <w:r w:rsidR="00832EC0" w:rsidRPr="00BE7F1E">
        <w:rPr>
          <w:rFonts w:ascii="PermianSerifTypeface" w:hAnsi="PermianSerifTypeface"/>
          <w:lang w:val="ro-RO"/>
        </w:rPr>
        <w:t>eze</w:t>
      </w:r>
      <w:r w:rsidRPr="00BE7F1E">
        <w:rPr>
          <w:rFonts w:ascii="PermianSerifTypeface" w:hAnsi="PermianSerifTypeface"/>
          <w:lang w:val="ro-RO"/>
        </w:rPr>
        <w:t xml:space="preserve"> pe o evaluare </w:t>
      </w:r>
      <w:r w:rsidR="008E14F0" w:rsidRPr="00BE7F1E">
        <w:rPr>
          <w:rFonts w:ascii="PermianSerifTypeface" w:hAnsi="PermianSerifTypeface"/>
          <w:lang w:val="ro-RO"/>
        </w:rPr>
        <w:t>prudentă</w:t>
      </w:r>
      <w:r w:rsidRPr="00BE7F1E">
        <w:rPr>
          <w:rFonts w:ascii="PermianSerifTypeface" w:hAnsi="PermianSerifTypeface"/>
          <w:lang w:val="ro-RO"/>
        </w:rPr>
        <w:t xml:space="preserve"> a capacității </w:t>
      </w:r>
      <w:r w:rsidR="006B251D" w:rsidRPr="00BE7F1E">
        <w:rPr>
          <w:rFonts w:ascii="PermianSerifTypeface" w:hAnsi="PermianSerifTypeface"/>
          <w:lang w:val="ro-RO"/>
        </w:rPr>
        <w:t xml:space="preserve">consumatorului </w:t>
      </w:r>
      <w:r w:rsidRPr="00BE7F1E">
        <w:rPr>
          <w:rFonts w:ascii="PermianSerifTypeface" w:hAnsi="PermianSerifTypeface"/>
          <w:lang w:val="ro-RO"/>
        </w:rPr>
        <w:t xml:space="preserve">de a rambursa creditul pe durata contractului de credit. </w:t>
      </w:r>
    </w:p>
    <w:p w14:paraId="6B030740" w14:textId="6671DA5A" w:rsidR="004C6F35" w:rsidRPr="00BE7F1E" w:rsidRDefault="004C6F35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În cazul în care creditul este acordat </w:t>
      </w:r>
      <w:r w:rsidR="007868C7" w:rsidRPr="00BE7F1E">
        <w:rPr>
          <w:rFonts w:ascii="PermianSerifTypeface" w:hAnsi="PermianSerifTypeface"/>
          <w:lang w:val="ro-RO"/>
        </w:rPr>
        <w:t xml:space="preserve">la </w:t>
      </w:r>
      <w:r w:rsidRPr="00BE7F1E">
        <w:rPr>
          <w:rFonts w:ascii="PermianSerifTypeface" w:hAnsi="PermianSerifTypeface"/>
          <w:lang w:val="ro-RO"/>
        </w:rPr>
        <w:t>do</w:t>
      </w:r>
      <w:r w:rsidR="00186E3A" w:rsidRPr="00BE7F1E">
        <w:rPr>
          <w:rFonts w:ascii="PermianSerifTypeface" w:hAnsi="PermianSerifTypeface"/>
          <w:lang w:val="ro-RO"/>
        </w:rPr>
        <w:t>i</w:t>
      </w:r>
      <w:r w:rsidRPr="00BE7F1E">
        <w:rPr>
          <w:rFonts w:ascii="PermianSerifTypeface" w:hAnsi="PermianSerifTypeface"/>
          <w:lang w:val="ro-RO"/>
        </w:rPr>
        <w:t xml:space="preserve"> sau mai mul</w:t>
      </w:r>
      <w:r w:rsidR="00186E3A" w:rsidRPr="00BE7F1E">
        <w:rPr>
          <w:rFonts w:ascii="PermianSerifTypeface" w:hAnsi="PermianSerifTypeface"/>
          <w:lang w:val="ro-RO"/>
        </w:rPr>
        <w:t>ți</w:t>
      </w:r>
      <w:r w:rsidR="00544B7B" w:rsidRPr="00BE7F1E">
        <w:rPr>
          <w:rFonts w:ascii="PermianSerifTypeface" w:hAnsi="PermianSerifTypeface"/>
          <w:lang w:val="ro-RO"/>
        </w:rPr>
        <w:t xml:space="preserve"> </w:t>
      </w:r>
      <w:r w:rsidR="00186E3A" w:rsidRPr="00BE7F1E">
        <w:rPr>
          <w:rFonts w:ascii="PermianSerifTypeface" w:hAnsi="PermianSerifTypeface"/>
          <w:lang w:val="ro-RO"/>
        </w:rPr>
        <w:t xml:space="preserve">consumatori </w:t>
      </w:r>
      <w:r w:rsidRPr="00BE7F1E">
        <w:rPr>
          <w:rFonts w:ascii="PermianSerifTypeface" w:hAnsi="PermianSerifTypeface"/>
          <w:lang w:val="ro-RO"/>
        </w:rPr>
        <w:t>(codebitori), venitul și obligațiile financiare ale acestor</w:t>
      </w:r>
      <w:r w:rsidR="005F7998" w:rsidRPr="00BE7F1E">
        <w:rPr>
          <w:rFonts w:ascii="PermianSerifTypeface" w:hAnsi="PermianSerifTypeface"/>
          <w:lang w:val="ro-RO"/>
        </w:rPr>
        <w:t>a</w:t>
      </w:r>
      <w:r w:rsidR="00A60E03" w:rsidRPr="00BE7F1E">
        <w:rPr>
          <w:rFonts w:ascii="PermianSerifTypeface" w:hAnsi="PermianSerifTypeface"/>
          <w:lang w:val="ro-RO"/>
        </w:rPr>
        <w:t xml:space="preserve"> </w:t>
      </w:r>
      <w:r w:rsidR="00C47E55" w:rsidRPr="00BE7F1E">
        <w:rPr>
          <w:rFonts w:ascii="PermianSerifTypeface" w:hAnsi="PermianSerifTypeface"/>
          <w:lang w:val="ro-RO"/>
        </w:rPr>
        <w:t>trebuie</w:t>
      </w:r>
      <w:r w:rsidRPr="00BE7F1E">
        <w:rPr>
          <w:rFonts w:ascii="PermianSerifTypeface" w:hAnsi="PermianSerifTypeface"/>
          <w:lang w:val="ro-RO"/>
        </w:rPr>
        <w:t xml:space="preserve"> evaluate împreună.</w:t>
      </w:r>
    </w:p>
    <w:p w14:paraId="767AA188" w14:textId="55711938" w:rsidR="00A62AA4" w:rsidRPr="00BE7F1E" w:rsidRDefault="000F067F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Creditorul trebuie să se asigure că fidejusorul este informat cel puțin </w:t>
      </w:r>
      <w:r w:rsidR="00B5420A" w:rsidRPr="00BE7F1E">
        <w:rPr>
          <w:rFonts w:ascii="PermianSerifTypeface" w:hAnsi="PermianSerifTypeface"/>
          <w:lang w:val="ro-RO"/>
        </w:rPr>
        <w:t xml:space="preserve">despre </w:t>
      </w:r>
      <w:r w:rsidRPr="00BE7F1E">
        <w:rPr>
          <w:rFonts w:ascii="PermianSerifTypeface" w:hAnsi="PermianSerifTypeface"/>
          <w:lang w:val="ro-RO"/>
        </w:rPr>
        <w:t>prevederil</w:t>
      </w:r>
      <w:r w:rsidR="00F71593" w:rsidRPr="00BE7F1E">
        <w:rPr>
          <w:rFonts w:ascii="PermianSerifTypeface" w:hAnsi="PermianSerifTypeface"/>
          <w:lang w:val="ro-RO"/>
        </w:rPr>
        <w:t>e</w:t>
      </w:r>
      <w:r w:rsidRPr="00BE7F1E">
        <w:rPr>
          <w:rFonts w:ascii="PermianSerifTypeface" w:hAnsi="PermianSerifTypeface"/>
          <w:lang w:val="ro-RO"/>
        </w:rPr>
        <w:t xml:space="preserve"> Codului Civil privind </w:t>
      </w:r>
      <w:r w:rsidR="007D0D1A" w:rsidRPr="00BE7F1E">
        <w:rPr>
          <w:rFonts w:ascii="PermianSerifTypeface" w:hAnsi="PermianSerifTypeface"/>
          <w:lang w:val="ro-RO"/>
        </w:rPr>
        <w:t>obligațiile</w:t>
      </w:r>
      <w:r w:rsidRPr="00BE7F1E">
        <w:rPr>
          <w:rFonts w:ascii="PermianSerifTypeface" w:hAnsi="PermianSerifTypeface"/>
          <w:lang w:val="ro-RO"/>
        </w:rPr>
        <w:t xml:space="preserve"> fidejusorului</w:t>
      </w:r>
      <w:r w:rsidR="00B5420A" w:rsidRPr="00BE7F1E">
        <w:rPr>
          <w:rFonts w:ascii="PermianSerifTypeface" w:hAnsi="PermianSerifTypeface"/>
          <w:lang w:val="ro-RO"/>
        </w:rPr>
        <w:t xml:space="preserve"> </w:t>
      </w:r>
      <w:r w:rsidR="00F71593" w:rsidRPr="00BE7F1E">
        <w:rPr>
          <w:rFonts w:ascii="PermianSerifTypeface" w:hAnsi="PermianSerifTypeface"/>
          <w:lang w:val="ro-RO"/>
        </w:rPr>
        <w:t xml:space="preserve">bazate pe </w:t>
      </w:r>
      <w:r w:rsidR="00B5420A" w:rsidRPr="00BE7F1E">
        <w:rPr>
          <w:rFonts w:ascii="PermianSerifTypeface" w:hAnsi="PermianSerifTypeface"/>
          <w:lang w:val="ro-RO"/>
        </w:rPr>
        <w:t>prevederil</w:t>
      </w:r>
      <w:r w:rsidR="00F71593" w:rsidRPr="00BE7F1E">
        <w:rPr>
          <w:rFonts w:ascii="PermianSerifTypeface" w:hAnsi="PermianSerifTypeface"/>
          <w:lang w:val="ro-RO"/>
        </w:rPr>
        <w:t>e</w:t>
      </w:r>
      <w:r w:rsidR="00B5420A" w:rsidRPr="00BE7F1E">
        <w:rPr>
          <w:rFonts w:ascii="PermianSerifTypeface" w:hAnsi="PermianSerifTypeface"/>
          <w:lang w:val="ro-RO"/>
        </w:rPr>
        <w:t xml:space="preserve"> Hotărâr</w:t>
      </w:r>
      <w:r w:rsidR="00F71593" w:rsidRPr="00BE7F1E">
        <w:rPr>
          <w:rFonts w:ascii="PermianSerifTypeface" w:hAnsi="PermianSerifTypeface"/>
          <w:lang w:val="ro-RO"/>
        </w:rPr>
        <w:t>ii</w:t>
      </w:r>
      <w:r w:rsidR="00B5420A" w:rsidRPr="00BE7F1E">
        <w:rPr>
          <w:rFonts w:ascii="PermianSerifTypeface" w:hAnsi="PermianSerifTypeface"/>
          <w:lang w:val="ro-RO"/>
        </w:rPr>
        <w:t xml:space="preserve"> Guvernului nr.251/2019 cu privire la constatarea consultării independente a potențialului fidejusor consumator</w:t>
      </w:r>
      <w:r w:rsidRPr="00BE7F1E">
        <w:rPr>
          <w:rFonts w:ascii="PermianSerifTypeface" w:hAnsi="PermianSerifTypeface"/>
          <w:lang w:val="ro-RO"/>
        </w:rPr>
        <w:t>.</w:t>
      </w:r>
    </w:p>
    <w:p w14:paraId="0C5E7657" w14:textId="043A04B0" w:rsidR="004C6F35" w:rsidRPr="00BE7F1E" w:rsidRDefault="004C6F35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bookmarkStart w:id="6" w:name="_Ref75940523"/>
      <w:r w:rsidRPr="00BE7F1E">
        <w:rPr>
          <w:rFonts w:ascii="PermianSerifTypeface" w:hAnsi="PermianSerifTypeface"/>
          <w:lang w:val="ro-RO"/>
        </w:rPr>
        <w:t xml:space="preserve">La evaluarea bonității unui </w:t>
      </w:r>
      <w:r w:rsidR="006B251D" w:rsidRPr="00BE7F1E">
        <w:rPr>
          <w:rFonts w:ascii="PermianSerifTypeface" w:hAnsi="PermianSerifTypeface"/>
          <w:lang w:val="ro-RO"/>
        </w:rPr>
        <w:t>consuma</w:t>
      </w:r>
      <w:r w:rsidRPr="00BE7F1E">
        <w:rPr>
          <w:rFonts w:ascii="PermianSerifTypeface" w:hAnsi="PermianSerifTypeface"/>
          <w:lang w:val="ro-RO"/>
        </w:rPr>
        <w:t xml:space="preserve">tor, creditorul </w:t>
      </w:r>
      <w:r w:rsidR="00F1555B" w:rsidRPr="00BE7F1E">
        <w:rPr>
          <w:rFonts w:ascii="PermianSerifTypeface" w:hAnsi="PermianSerifTypeface"/>
          <w:lang w:val="ro-RO"/>
        </w:rPr>
        <w:t>asigur</w:t>
      </w:r>
      <w:r w:rsidR="00941CF1" w:rsidRPr="00BE7F1E">
        <w:rPr>
          <w:rFonts w:ascii="PermianSerifTypeface" w:hAnsi="PermianSerifTypeface"/>
          <w:lang w:val="ro-RO"/>
        </w:rPr>
        <w:t xml:space="preserve">ă </w:t>
      </w:r>
      <w:r w:rsidRPr="00BE7F1E">
        <w:rPr>
          <w:rFonts w:ascii="PermianSerifTypeface" w:hAnsi="PermianSerifTypeface"/>
          <w:lang w:val="ro-RO"/>
        </w:rPr>
        <w:t>colect</w:t>
      </w:r>
      <w:r w:rsidR="00F1555B" w:rsidRPr="00BE7F1E">
        <w:rPr>
          <w:rFonts w:ascii="PermianSerifTypeface" w:hAnsi="PermianSerifTypeface"/>
          <w:lang w:val="ro-RO"/>
        </w:rPr>
        <w:t>area</w:t>
      </w:r>
      <w:r w:rsidRPr="00BE7F1E">
        <w:rPr>
          <w:rFonts w:ascii="PermianSerifTypeface" w:hAnsi="PermianSerifTypeface"/>
          <w:lang w:val="ro-RO"/>
        </w:rPr>
        <w:t xml:space="preserve"> și evalu</w:t>
      </w:r>
      <w:r w:rsidR="00F1555B" w:rsidRPr="00BE7F1E">
        <w:rPr>
          <w:rFonts w:ascii="PermianSerifTypeface" w:hAnsi="PermianSerifTypeface"/>
          <w:lang w:val="ro-RO"/>
        </w:rPr>
        <w:t>ar</w:t>
      </w:r>
      <w:r w:rsidRPr="00BE7F1E">
        <w:rPr>
          <w:rFonts w:ascii="PermianSerifTypeface" w:hAnsi="PermianSerifTypeface"/>
          <w:lang w:val="ro-RO"/>
        </w:rPr>
        <w:t>e</w:t>
      </w:r>
      <w:r w:rsidR="00F1555B" w:rsidRPr="00BE7F1E">
        <w:rPr>
          <w:rFonts w:ascii="PermianSerifTypeface" w:hAnsi="PermianSerifTypeface"/>
          <w:lang w:val="ro-RO"/>
        </w:rPr>
        <w:t>a</w:t>
      </w:r>
      <w:r w:rsidRPr="00BE7F1E">
        <w:rPr>
          <w:rFonts w:ascii="PermianSerifTypeface" w:hAnsi="PermianSerifTypeface"/>
          <w:lang w:val="ro-RO"/>
        </w:rPr>
        <w:t xml:space="preserve"> informații</w:t>
      </w:r>
      <w:r w:rsidR="00F1555B" w:rsidRPr="00BE7F1E">
        <w:rPr>
          <w:rFonts w:ascii="PermianSerifTypeface" w:hAnsi="PermianSerifTypeface"/>
          <w:lang w:val="ro-RO"/>
        </w:rPr>
        <w:t>lor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3100AA" w:rsidRPr="00BE7F1E">
        <w:rPr>
          <w:rFonts w:ascii="PermianSerifTypeface" w:hAnsi="PermianSerifTypeface"/>
          <w:lang w:val="ro-RO"/>
        </w:rPr>
        <w:t>luând în considerare, cel puțin următoarele</w:t>
      </w:r>
      <w:r w:rsidRPr="00BE7F1E">
        <w:rPr>
          <w:rFonts w:ascii="PermianSerifTypeface" w:hAnsi="PermianSerifTypeface"/>
          <w:lang w:val="ro-RO"/>
        </w:rPr>
        <w:t>:</w:t>
      </w:r>
      <w:bookmarkEnd w:id="6"/>
    </w:p>
    <w:p w14:paraId="1EEE90D2" w14:textId="503C4F8C" w:rsidR="004C6F35" w:rsidRPr="00BE7F1E" w:rsidRDefault="004C6F35" w:rsidP="00497793">
      <w:pPr>
        <w:numPr>
          <w:ilvl w:val="1"/>
          <w:numId w:val="4"/>
        </w:numPr>
        <w:ind w:left="426" w:hanging="284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venitu</w:t>
      </w:r>
      <w:r w:rsidR="00E26ABA" w:rsidRPr="00BE7F1E">
        <w:rPr>
          <w:rFonts w:ascii="PermianSerifTypeface" w:hAnsi="PermianSerifTypeface"/>
          <w:lang w:val="ro-RO"/>
        </w:rPr>
        <w:t>ri</w:t>
      </w:r>
      <w:r w:rsidRPr="00BE7F1E">
        <w:rPr>
          <w:rFonts w:ascii="PermianSerifTypeface" w:hAnsi="PermianSerifTypeface"/>
          <w:lang w:val="ro-RO"/>
        </w:rPr>
        <w:t>l</w:t>
      </w:r>
      <w:r w:rsidR="00E26ABA" w:rsidRPr="00BE7F1E">
        <w:rPr>
          <w:rFonts w:ascii="PermianSerifTypeface" w:hAnsi="PermianSerifTypeface"/>
          <w:lang w:val="ro-RO"/>
        </w:rPr>
        <w:t>e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6A7984" w:rsidRPr="00BE7F1E">
        <w:rPr>
          <w:rFonts w:ascii="PermianSerifTypeface" w:hAnsi="PermianSerifTypeface"/>
          <w:lang w:val="ro-RO"/>
        </w:rPr>
        <w:t>confirmat</w:t>
      </w:r>
      <w:r w:rsidR="00E26ABA" w:rsidRPr="00BE7F1E">
        <w:rPr>
          <w:rFonts w:ascii="PermianSerifTypeface" w:hAnsi="PermianSerifTypeface"/>
          <w:lang w:val="ro-RO"/>
        </w:rPr>
        <w:t>e</w:t>
      </w:r>
      <w:r w:rsidR="006A7984" w:rsidRPr="00BE7F1E">
        <w:rPr>
          <w:rFonts w:ascii="PermianSerifTypeface" w:hAnsi="PermianSerifTypeface"/>
          <w:lang w:val="ro-RO"/>
        </w:rPr>
        <w:t xml:space="preserve"> al</w:t>
      </w:r>
      <w:r w:rsidR="00E26ABA" w:rsidRPr="00BE7F1E">
        <w:rPr>
          <w:rFonts w:ascii="PermianSerifTypeface" w:hAnsi="PermianSerifTypeface"/>
          <w:lang w:val="ro-RO"/>
        </w:rPr>
        <w:t>e</w:t>
      </w:r>
      <w:r w:rsidR="006A7984" w:rsidRPr="00BE7F1E">
        <w:rPr>
          <w:rFonts w:ascii="PermianSerifTypeface" w:hAnsi="PermianSerifTypeface"/>
          <w:lang w:val="ro-RO"/>
        </w:rPr>
        <w:t xml:space="preserve"> </w:t>
      </w:r>
      <w:r w:rsidR="006B251D" w:rsidRPr="00BE7F1E">
        <w:rPr>
          <w:rFonts w:ascii="PermianSerifTypeface" w:hAnsi="PermianSerifTypeface"/>
          <w:lang w:val="ro-RO"/>
        </w:rPr>
        <w:t>consumatorului</w:t>
      </w:r>
      <w:r w:rsidRPr="00BE7F1E">
        <w:rPr>
          <w:rFonts w:ascii="PermianSerifTypeface" w:hAnsi="PermianSerifTypeface"/>
          <w:lang w:val="ro-RO"/>
        </w:rPr>
        <w:t>, diversitatea, sustenabilitatea, dinamica posibilă a venitu</w:t>
      </w:r>
      <w:r w:rsidR="00566337" w:rsidRPr="00BE7F1E">
        <w:rPr>
          <w:rFonts w:ascii="PermianSerifTypeface" w:hAnsi="PermianSerifTypeface"/>
          <w:lang w:val="ro-RO"/>
        </w:rPr>
        <w:t>ri</w:t>
      </w:r>
      <w:r w:rsidRPr="00BE7F1E">
        <w:rPr>
          <w:rFonts w:ascii="PermianSerifTypeface" w:hAnsi="PermianSerifTypeface"/>
          <w:lang w:val="ro-RO"/>
        </w:rPr>
        <w:t>l</w:t>
      </w:r>
      <w:r w:rsidR="00566337" w:rsidRPr="00BE7F1E">
        <w:rPr>
          <w:rFonts w:ascii="PermianSerifTypeface" w:hAnsi="PermianSerifTypeface"/>
          <w:lang w:val="ro-RO"/>
        </w:rPr>
        <w:t>or</w:t>
      </w:r>
      <w:r w:rsidRPr="00BE7F1E">
        <w:rPr>
          <w:rFonts w:ascii="PermianSerifTypeface" w:hAnsi="PermianSerifTypeface"/>
          <w:lang w:val="ro-RO"/>
        </w:rPr>
        <w:t xml:space="preserve"> în viitor </w:t>
      </w:r>
      <w:r w:rsidR="00367DDD" w:rsidRPr="00BE7F1E">
        <w:rPr>
          <w:rFonts w:ascii="PermianSerifTypeface" w:hAnsi="PermianSerifTypeface"/>
          <w:lang w:val="ro-RO"/>
        </w:rPr>
        <w:t>în baza factorilor obiectiv cunoscuți</w:t>
      </w:r>
      <w:r w:rsidR="00042F50" w:rsidRPr="00BE7F1E">
        <w:rPr>
          <w:rFonts w:ascii="PermianSerifTypeface" w:hAnsi="PermianSerifTypeface"/>
          <w:lang w:val="ro-RO"/>
        </w:rPr>
        <w:t xml:space="preserve"> (de ex. stabilitatea angajării, condițiile economice generale, schimbările legislative, situația familială etc.)</w:t>
      </w:r>
      <w:r w:rsidR="00A13B33" w:rsidRPr="00BE7F1E">
        <w:rPr>
          <w:rFonts w:ascii="PermianSerifTypeface" w:hAnsi="PermianSerifTypeface"/>
          <w:lang w:val="ro-RO"/>
        </w:rPr>
        <w:t>;</w:t>
      </w:r>
    </w:p>
    <w:p w14:paraId="41367805" w14:textId="1A113AF5" w:rsidR="004C6F35" w:rsidRPr="00BE7F1E" w:rsidRDefault="00FF090C" w:rsidP="00497793">
      <w:pPr>
        <w:numPr>
          <w:ilvl w:val="1"/>
          <w:numId w:val="4"/>
        </w:numPr>
        <w:ind w:left="426" w:hanging="284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it-IT"/>
        </w:rPr>
        <w:t xml:space="preserve"> </w:t>
      </w:r>
      <w:r w:rsidRPr="00BE7F1E">
        <w:rPr>
          <w:rFonts w:ascii="PermianSerifTypeface" w:hAnsi="PermianSerifTypeface"/>
          <w:lang w:val="ro-RO"/>
        </w:rPr>
        <w:t xml:space="preserve">obligațiile consumatorului în temeiul contractelor de credit </w:t>
      </w:r>
      <w:r w:rsidR="00346E9E" w:rsidRPr="00BE7F1E">
        <w:rPr>
          <w:rFonts w:ascii="PermianSerifTypeface" w:hAnsi="PermianSerifTypeface"/>
          <w:lang w:val="ro-RO"/>
        </w:rPr>
        <w:t>în curs de executare</w:t>
      </w:r>
      <w:r w:rsidR="00AD3DB7" w:rsidRPr="00BE7F1E">
        <w:rPr>
          <w:rFonts w:ascii="PermianSerifTypeface" w:hAnsi="PermianSerifTypeface"/>
          <w:lang w:val="ro-RO"/>
        </w:rPr>
        <w:t xml:space="preserve"> </w:t>
      </w:r>
      <w:r w:rsidRPr="00BE7F1E">
        <w:rPr>
          <w:rFonts w:ascii="PermianSerifTypeface" w:hAnsi="PermianSerifTypeface"/>
          <w:lang w:val="ro-RO"/>
        </w:rPr>
        <w:t xml:space="preserve">cumulate cu obligațiile de plată care derivă din contractul de credit </w:t>
      </w:r>
      <w:r w:rsidRPr="00BE7F1E">
        <w:rPr>
          <w:rFonts w:ascii="PermianSerifTypeface" w:hAnsi="PermianSerifTypeface"/>
          <w:lang w:val="ro-RO"/>
        </w:rPr>
        <w:lastRenderedPageBreak/>
        <w:t xml:space="preserve">solicitat, precum și alte obligații financiare </w:t>
      </w:r>
      <w:r w:rsidR="00F82B9C" w:rsidRPr="00BE7F1E">
        <w:rPr>
          <w:rFonts w:ascii="PermianSerifTypeface" w:hAnsi="PermianSerifTypeface"/>
          <w:lang w:val="ro-RO"/>
        </w:rPr>
        <w:t xml:space="preserve">ale acestuia </w:t>
      </w:r>
      <w:r w:rsidRPr="00BE7F1E">
        <w:rPr>
          <w:rFonts w:ascii="PermianSerifTypeface" w:hAnsi="PermianSerifTypeface"/>
          <w:lang w:val="ro-RO"/>
        </w:rPr>
        <w:t xml:space="preserve">pe baza </w:t>
      </w:r>
      <w:r w:rsidR="00BE1E23" w:rsidRPr="00BE7F1E">
        <w:rPr>
          <w:rFonts w:ascii="PermianSerifTypeface" w:hAnsi="PermianSerifTypeface"/>
          <w:lang w:val="ro-RO"/>
        </w:rPr>
        <w:t>unui volum suficient de informații obținute inclusiv de la consumator și, după caz, pe baza consultării bazei de date relevante</w:t>
      </w:r>
      <w:r w:rsidRPr="00BE7F1E">
        <w:rPr>
          <w:rFonts w:ascii="PermianSerifTypeface" w:hAnsi="PermianSerifTypeface"/>
          <w:lang w:val="ro-RO"/>
        </w:rPr>
        <w:t>;</w:t>
      </w:r>
    </w:p>
    <w:p w14:paraId="61A72657" w14:textId="6AF72642" w:rsidR="004C6F35" w:rsidRPr="00BE7F1E" w:rsidRDefault="004C6F35" w:rsidP="00497793">
      <w:pPr>
        <w:numPr>
          <w:ilvl w:val="1"/>
          <w:numId w:val="4"/>
        </w:numPr>
        <w:ind w:left="426" w:hanging="284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istoria de credit a </w:t>
      </w:r>
      <w:r w:rsidR="006B251D" w:rsidRPr="00BE7F1E">
        <w:rPr>
          <w:rFonts w:ascii="PermianSerifTypeface" w:hAnsi="PermianSerifTypeface"/>
          <w:lang w:val="ro-RO"/>
        </w:rPr>
        <w:t>consumatorului</w:t>
      </w:r>
      <w:r w:rsidRPr="00BE7F1E">
        <w:rPr>
          <w:rFonts w:ascii="PermianSerifTypeface" w:hAnsi="PermianSerifTypeface"/>
          <w:lang w:val="ro-RO"/>
        </w:rPr>
        <w:t xml:space="preserve">, obligațiile </w:t>
      </w:r>
      <w:r w:rsidR="00BE1E23" w:rsidRPr="00BE7F1E">
        <w:rPr>
          <w:rFonts w:ascii="PermianSerifTypeface" w:hAnsi="PermianSerifTypeface"/>
          <w:lang w:val="ro-RO"/>
        </w:rPr>
        <w:t xml:space="preserve">de credit </w:t>
      </w:r>
      <w:r w:rsidRPr="00BE7F1E">
        <w:rPr>
          <w:rFonts w:ascii="PermianSerifTypeface" w:hAnsi="PermianSerifTypeface"/>
          <w:lang w:val="ro-RO"/>
        </w:rPr>
        <w:t xml:space="preserve">restante și alte informații despre îndeplinirea necorespunzătoare a obligațiilor financiare curente sau anterioare de către </w:t>
      </w:r>
      <w:r w:rsidR="006B251D" w:rsidRPr="00BE7F1E">
        <w:rPr>
          <w:rFonts w:ascii="PermianSerifTypeface" w:hAnsi="PermianSerifTypeface"/>
          <w:lang w:val="ro-RO"/>
        </w:rPr>
        <w:t>consumator</w:t>
      </w:r>
      <w:r w:rsidR="00DC7485" w:rsidRPr="00BE7F1E">
        <w:rPr>
          <w:rFonts w:ascii="PermianSerifTypeface" w:hAnsi="PermianSerifTypeface"/>
          <w:lang w:val="ro-RO"/>
        </w:rPr>
        <w:t>,</w:t>
      </w:r>
      <w:r w:rsidR="00DC7485" w:rsidRPr="00BE7F1E">
        <w:rPr>
          <w:rFonts w:ascii="PermianSerifTypeface" w:hAnsi="PermianSerifTypeface"/>
          <w:lang w:val="it-IT"/>
        </w:rPr>
        <w:t xml:space="preserve"> </w:t>
      </w:r>
      <w:r w:rsidR="00DC7485" w:rsidRPr="00BE7F1E">
        <w:rPr>
          <w:rFonts w:ascii="PermianSerifTypeface" w:hAnsi="PermianSerifTypeface"/>
          <w:lang w:val="ro-RO"/>
        </w:rPr>
        <w:t>inclusiv a obligațiilor sub form</w:t>
      </w:r>
      <w:r w:rsidR="002D01EA">
        <w:rPr>
          <w:rFonts w:ascii="PermianSerifTypeface" w:hAnsi="PermianSerifTypeface"/>
          <w:lang w:val="ro-RO"/>
        </w:rPr>
        <w:t>ă</w:t>
      </w:r>
      <w:r w:rsidR="00DC7485" w:rsidRPr="00BE7F1E">
        <w:rPr>
          <w:rFonts w:ascii="PermianSerifTypeface" w:hAnsi="PermianSerifTypeface"/>
          <w:lang w:val="ro-RO"/>
        </w:rPr>
        <w:t xml:space="preserve"> de sancțiuni pecuniare (contravenționale, penale etc.)</w:t>
      </w:r>
      <w:r w:rsidRPr="00BE7F1E">
        <w:rPr>
          <w:rFonts w:ascii="PermianSerifTypeface" w:hAnsi="PermianSerifTypeface"/>
          <w:lang w:val="ro-RO"/>
        </w:rPr>
        <w:t>;</w:t>
      </w:r>
    </w:p>
    <w:p w14:paraId="6476BF3B" w14:textId="3AFFD5ED" w:rsidR="004C6F35" w:rsidRPr="00BE7F1E" w:rsidRDefault="004C6F35" w:rsidP="00497793">
      <w:pPr>
        <w:numPr>
          <w:ilvl w:val="1"/>
          <w:numId w:val="4"/>
        </w:numPr>
        <w:ind w:left="426" w:hanging="284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impactul circumstanțelor indicate de </w:t>
      </w:r>
      <w:r w:rsidR="006B251D" w:rsidRPr="00BE7F1E">
        <w:rPr>
          <w:rFonts w:ascii="PermianSerifTypeface" w:hAnsi="PermianSerifTypeface"/>
          <w:lang w:val="ro-RO"/>
        </w:rPr>
        <w:t xml:space="preserve">consumator </w:t>
      </w:r>
      <w:r w:rsidRPr="00BE7F1E">
        <w:rPr>
          <w:rFonts w:ascii="PermianSerifTypeface" w:hAnsi="PermianSerifTypeface"/>
          <w:lang w:val="ro-RO"/>
        </w:rPr>
        <w:t xml:space="preserve">sau cunoscute de creditor asupra situației financiare a </w:t>
      </w:r>
      <w:r w:rsidR="006B251D" w:rsidRPr="00BE7F1E">
        <w:rPr>
          <w:rFonts w:ascii="PermianSerifTypeface" w:hAnsi="PermianSerifTypeface"/>
          <w:lang w:val="ro-RO"/>
        </w:rPr>
        <w:t>consumatorului</w:t>
      </w:r>
      <w:r w:rsidRPr="00BE7F1E">
        <w:rPr>
          <w:rFonts w:ascii="PermianSerifTypeface" w:hAnsi="PermianSerifTypeface"/>
          <w:lang w:val="ro-RO"/>
        </w:rPr>
        <w:t>, precum și a</w:t>
      </w:r>
      <w:r w:rsidR="007868C7" w:rsidRPr="00BE7F1E">
        <w:rPr>
          <w:rFonts w:ascii="PermianSerifTypeface" w:hAnsi="PermianSerifTypeface"/>
          <w:lang w:val="ro-RO"/>
        </w:rPr>
        <w:t>l</w:t>
      </w:r>
      <w:r w:rsidRPr="00BE7F1E">
        <w:rPr>
          <w:rFonts w:ascii="PermianSerifTypeface" w:hAnsi="PermianSerifTypeface"/>
          <w:lang w:val="ro-RO"/>
        </w:rPr>
        <w:t xml:space="preserve"> altor factori care pot afecta capacitatea </w:t>
      </w:r>
      <w:r w:rsidR="006B251D" w:rsidRPr="00BE7F1E">
        <w:rPr>
          <w:rFonts w:ascii="PermianSerifTypeface" w:hAnsi="PermianSerifTypeface"/>
          <w:lang w:val="ro-RO"/>
        </w:rPr>
        <w:t xml:space="preserve">consumatorului </w:t>
      </w:r>
      <w:r w:rsidRPr="00BE7F1E">
        <w:rPr>
          <w:rFonts w:ascii="PermianSerifTypeface" w:hAnsi="PermianSerifTypeface"/>
          <w:lang w:val="ro-RO"/>
        </w:rPr>
        <w:t>de a-și îndeplini obligațiile financiare, care pot provoca probleme financiare sau îndatorarea excesivă</w:t>
      </w:r>
      <w:r w:rsidR="00A60E03" w:rsidRPr="00BE7F1E">
        <w:rPr>
          <w:rFonts w:ascii="PermianSerifTypeface" w:hAnsi="PermianSerifTypeface"/>
          <w:lang w:val="ro-RO"/>
        </w:rPr>
        <w:t xml:space="preserve"> a </w:t>
      </w:r>
      <w:r w:rsidR="006B251D" w:rsidRPr="00BE7F1E">
        <w:rPr>
          <w:rFonts w:ascii="PermianSerifTypeface" w:hAnsi="PermianSerifTypeface"/>
          <w:lang w:val="ro-RO"/>
        </w:rPr>
        <w:t>consumatorului</w:t>
      </w:r>
      <w:r w:rsidR="00A13B33" w:rsidRPr="00BE7F1E">
        <w:rPr>
          <w:rFonts w:ascii="PermianSerifTypeface" w:hAnsi="PermianSerifTypeface"/>
          <w:lang w:val="ro-RO"/>
        </w:rPr>
        <w:t>.</w:t>
      </w:r>
    </w:p>
    <w:p w14:paraId="196027AD" w14:textId="5679FA37" w:rsidR="00941CF1" w:rsidRPr="00BE7F1E" w:rsidRDefault="00C43788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bookmarkStart w:id="7" w:name="_Ref88666310"/>
      <w:r w:rsidRPr="00BE7F1E">
        <w:rPr>
          <w:rFonts w:ascii="PermianSerifTypeface" w:hAnsi="PermianSerifTypeface"/>
          <w:lang w:val="ro-RO"/>
        </w:rPr>
        <w:t>I</w:t>
      </w:r>
      <w:r w:rsidR="00941CF1" w:rsidRPr="00BE7F1E">
        <w:rPr>
          <w:rFonts w:ascii="PermianSerifTypeface" w:hAnsi="PermianSerifTypeface"/>
          <w:lang w:val="ro-RO"/>
        </w:rPr>
        <w:t>nformați</w:t>
      </w:r>
      <w:r w:rsidRPr="00BE7F1E">
        <w:rPr>
          <w:rFonts w:ascii="PermianSerifTypeface" w:hAnsi="PermianSerifTypeface"/>
          <w:lang w:val="ro-RO"/>
        </w:rPr>
        <w:t>a</w:t>
      </w:r>
      <w:r w:rsidR="00941CF1" w:rsidRPr="00BE7F1E">
        <w:rPr>
          <w:rFonts w:ascii="PermianSerifTypeface" w:hAnsi="PermianSerifTypeface"/>
          <w:lang w:val="ro-RO"/>
        </w:rPr>
        <w:t xml:space="preserve"> specificat</w:t>
      </w:r>
      <w:r w:rsidRPr="00BE7F1E">
        <w:rPr>
          <w:rFonts w:ascii="PermianSerifTypeface" w:hAnsi="PermianSerifTypeface"/>
          <w:lang w:val="ro-RO"/>
        </w:rPr>
        <w:t>ă</w:t>
      </w:r>
      <w:r w:rsidR="00941CF1" w:rsidRPr="00BE7F1E">
        <w:rPr>
          <w:rFonts w:ascii="PermianSerifTypeface" w:hAnsi="PermianSerifTypeface"/>
          <w:lang w:val="ro-RO"/>
        </w:rPr>
        <w:t xml:space="preserve"> la pct</w:t>
      </w:r>
      <w:r w:rsidR="00E17E2A" w:rsidRPr="00BE7F1E">
        <w:rPr>
          <w:rFonts w:ascii="PermianSerifTypeface" w:hAnsi="PermianSerifTypeface"/>
          <w:lang w:val="ro-RO"/>
        </w:rPr>
        <w:t>.</w:t>
      </w:r>
      <w:r w:rsidR="00941CF1" w:rsidRPr="00BE7F1E">
        <w:rPr>
          <w:rFonts w:ascii="PermianSerifTypeface" w:hAnsi="PermianSerifTypeface"/>
          <w:lang w:val="ro-RO"/>
        </w:rPr>
        <w:fldChar w:fldCharType="begin"/>
      </w:r>
      <w:r w:rsidR="00941CF1" w:rsidRPr="00BE7F1E">
        <w:rPr>
          <w:rFonts w:ascii="PermianSerifTypeface" w:hAnsi="PermianSerifTypeface"/>
          <w:lang w:val="ro-RO"/>
        </w:rPr>
        <w:instrText xml:space="preserve"> REF _Ref75940523 \r \h </w:instrText>
      </w:r>
      <w:r w:rsidR="00B140F8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941CF1" w:rsidRPr="00BE7F1E">
        <w:rPr>
          <w:rFonts w:ascii="PermianSerifTypeface" w:hAnsi="PermianSerifTypeface"/>
          <w:lang w:val="ro-RO"/>
        </w:rPr>
      </w:r>
      <w:r w:rsidR="00941CF1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14</w:t>
      </w:r>
      <w:r w:rsidR="00941CF1" w:rsidRPr="00BE7F1E">
        <w:rPr>
          <w:rFonts w:ascii="PermianSerifTypeface" w:hAnsi="PermianSerifTypeface"/>
          <w:lang w:val="ro-RO"/>
        </w:rPr>
        <w:fldChar w:fldCharType="end"/>
      </w:r>
      <w:r w:rsidR="00C4167E" w:rsidRPr="00BE7F1E">
        <w:rPr>
          <w:rFonts w:ascii="PermianSerifTypeface" w:hAnsi="PermianSerifTypeface"/>
          <w:lang w:val="ro-RO"/>
        </w:rPr>
        <w:t xml:space="preserve"> urmează să</w:t>
      </w:r>
      <w:r w:rsidR="00941CF1" w:rsidRPr="00BE7F1E">
        <w:rPr>
          <w:rFonts w:ascii="PermianSerifTypeface" w:hAnsi="PermianSerifTypeface"/>
          <w:lang w:val="ro-RO"/>
        </w:rPr>
        <w:t xml:space="preserve"> se verific</w:t>
      </w:r>
      <w:r w:rsidR="00C4167E" w:rsidRPr="00BE7F1E">
        <w:rPr>
          <w:rFonts w:ascii="PermianSerifTypeface" w:hAnsi="PermianSerifTypeface"/>
          <w:lang w:val="ro-RO"/>
        </w:rPr>
        <w:t>e</w:t>
      </w:r>
      <w:r w:rsidR="00941CF1" w:rsidRPr="00BE7F1E">
        <w:rPr>
          <w:rFonts w:ascii="PermianSerifTypeface" w:hAnsi="PermianSerifTypeface"/>
          <w:lang w:val="ro-RO"/>
        </w:rPr>
        <w:t xml:space="preserve"> de către creditor cu datele din sursele oficiale</w:t>
      </w:r>
      <w:r w:rsidR="008845F9" w:rsidRPr="00BE7F1E">
        <w:rPr>
          <w:rFonts w:ascii="PermianSerifTypeface" w:hAnsi="PermianSerifTypeface"/>
          <w:lang w:val="ro-RO"/>
        </w:rPr>
        <w:t xml:space="preserve"> accesibile (birourile istoriilor de credit, istoria de credit internă, extrasele de conturi </w:t>
      </w:r>
      <w:r w:rsidR="00945C87" w:rsidRPr="00BE7F1E">
        <w:rPr>
          <w:rFonts w:ascii="PermianSerifTypeface" w:hAnsi="PermianSerifTypeface"/>
          <w:lang w:val="ro-RO"/>
        </w:rPr>
        <w:t xml:space="preserve">emise de </w:t>
      </w:r>
      <w:r w:rsidR="008845F9" w:rsidRPr="00BE7F1E">
        <w:rPr>
          <w:rFonts w:ascii="PermianSerifTypeface" w:hAnsi="PermianSerifTypeface"/>
          <w:lang w:val="ro-RO"/>
        </w:rPr>
        <w:t>b</w:t>
      </w:r>
      <w:r w:rsidR="00945C87" w:rsidRPr="00BE7F1E">
        <w:rPr>
          <w:rFonts w:ascii="PermianSerifTypeface" w:hAnsi="PermianSerifTypeface"/>
          <w:lang w:val="ro-RO"/>
        </w:rPr>
        <w:t>ă</w:t>
      </w:r>
      <w:r w:rsidR="008845F9" w:rsidRPr="00BE7F1E">
        <w:rPr>
          <w:rFonts w:ascii="PermianSerifTypeface" w:hAnsi="PermianSerifTypeface"/>
          <w:lang w:val="ro-RO"/>
        </w:rPr>
        <w:t>nc</w:t>
      </w:r>
      <w:r w:rsidR="00945C87" w:rsidRPr="00BE7F1E">
        <w:rPr>
          <w:rFonts w:ascii="PermianSerifTypeface" w:hAnsi="PermianSerifTypeface"/>
          <w:lang w:val="ro-RO"/>
        </w:rPr>
        <w:t>i și</w:t>
      </w:r>
      <w:r w:rsidR="00042F50" w:rsidRPr="00C04F4A">
        <w:rPr>
          <w:lang w:val="pt-BR"/>
        </w:rPr>
        <w:t xml:space="preserve"> </w:t>
      </w:r>
      <w:r w:rsidR="00042F50" w:rsidRPr="00BE7F1E">
        <w:rPr>
          <w:rFonts w:ascii="PermianSerifTypeface" w:hAnsi="PermianSerifTypeface"/>
          <w:lang w:val="ro-RO"/>
        </w:rPr>
        <w:t>prestatori de servicii de plată nebancari</w:t>
      </w:r>
      <w:r w:rsidR="008845F9" w:rsidRPr="00BE7F1E">
        <w:rPr>
          <w:rFonts w:ascii="PermianSerifTypeface" w:hAnsi="PermianSerifTypeface"/>
          <w:lang w:val="ro-RO"/>
        </w:rPr>
        <w:t>, Serviciul Fiscal de Stat</w:t>
      </w:r>
      <w:r w:rsidR="007F34B1" w:rsidRPr="00BE7F1E">
        <w:rPr>
          <w:rFonts w:ascii="PermianSerifTypeface" w:hAnsi="PermianSerifTypeface"/>
          <w:lang w:val="it-IT"/>
        </w:rPr>
        <w:t xml:space="preserve"> </w:t>
      </w:r>
      <w:r w:rsidR="007F34B1" w:rsidRPr="00BE7F1E">
        <w:rPr>
          <w:rFonts w:ascii="PermianSerifTypeface" w:hAnsi="PermianSerifTypeface"/>
          <w:lang w:val="ro-RO"/>
        </w:rPr>
        <w:t xml:space="preserve">și alte surse </w:t>
      </w:r>
      <w:r w:rsidR="009379CB" w:rsidRPr="00BE7F1E">
        <w:rPr>
          <w:rFonts w:ascii="PermianSerifTypeface" w:hAnsi="PermianSerifTypeface"/>
          <w:lang w:val="ro-RO"/>
        </w:rPr>
        <w:t>oficiale</w:t>
      </w:r>
      <w:r w:rsidR="007F34B1" w:rsidRPr="00BE7F1E">
        <w:rPr>
          <w:rFonts w:ascii="PermianSerifTypeface" w:hAnsi="PermianSerifTypeface"/>
          <w:lang w:val="ro-RO"/>
        </w:rPr>
        <w:t xml:space="preserve"> în temeiul legislației în vigoare</w:t>
      </w:r>
      <w:r w:rsidR="008845F9" w:rsidRPr="00BE7F1E">
        <w:rPr>
          <w:rFonts w:ascii="PermianSerifTypeface" w:hAnsi="PermianSerifTypeface"/>
          <w:lang w:val="ro-RO"/>
        </w:rPr>
        <w:t>)</w:t>
      </w:r>
      <w:r w:rsidR="00941CF1" w:rsidRPr="00BE7F1E">
        <w:rPr>
          <w:rFonts w:ascii="PermianSerifTypeface" w:hAnsi="PermianSerifTypeface"/>
          <w:lang w:val="ro-RO"/>
        </w:rPr>
        <w:t xml:space="preserve"> relevante pentru evaluarea bonității </w:t>
      </w:r>
      <w:r w:rsidR="006B251D" w:rsidRPr="00BE7F1E">
        <w:rPr>
          <w:rFonts w:ascii="PermianSerifTypeface" w:hAnsi="PermianSerifTypeface"/>
          <w:lang w:val="ro-RO"/>
        </w:rPr>
        <w:t>consumatorului</w:t>
      </w:r>
      <w:r w:rsidR="00F860EB" w:rsidRPr="00BE7F1E">
        <w:rPr>
          <w:rFonts w:ascii="PermianSerifTypeface" w:hAnsi="PermianSerifTypeface"/>
          <w:lang w:val="ro-RO"/>
        </w:rPr>
        <w:t xml:space="preserve"> </w:t>
      </w:r>
      <w:r w:rsidR="00941CF1" w:rsidRPr="00BE7F1E">
        <w:rPr>
          <w:rFonts w:ascii="PermianSerifTypeface" w:hAnsi="PermianSerifTypeface"/>
          <w:lang w:val="ro-RO"/>
        </w:rPr>
        <w:t>sau alte surse relevante</w:t>
      </w:r>
      <w:r w:rsidR="00510FCA" w:rsidRPr="00BE7F1E">
        <w:rPr>
          <w:rFonts w:ascii="PermianSerifTypeface" w:hAnsi="PermianSerifTypeface"/>
          <w:lang w:val="ro-RO"/>
        </w:rPr>
        <w:t xml:space="preserve"> care confirmă veniturile/obligațiile consumatorului</w:t>
      </w:r>
      <w:r w:rsidR="00941CF1" w:rsidRPr="00BE7F1E">
        <w:rPr>
          <w:rFonts w:ascii="PermianSerifTypeface" w:hAnsi="PermianSerifTypeface"/>
          <w:lang w:val="ro-RO"/>
        </w:rPr>
        <w:t>.</w:t>
      </w:r>
      <w:bookmarkEnd w:id="7"/>
    </w:p>
    <w:p w14:paraId="4A2FF988" w14:textId="77431407" w:rsidR="00F96CE6" w:rsidRPr="00BE7F1E" w:rsidRDefault="00F96CE6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În cazul constatării divergențelor dintre datoriile declarate de </w:t>
      </w:r>
      <w:r w:rsidR="006B251D" w:rsidRPr="00BE7F1E">
        <w:rPr>
          <w:rFonts w:ascii="PermianSerifTypeface" w:hAnsi="PermianSerifTypeface"/>
          <w:lang w:val="ro-RO"/>
        </w:rPr>
        <w:t xml:space="preserve">consumator </w:t>
      </w:r>
      <w:r w:rsidRPr="00BE7F1E">
        <w:rPr>
          <w:rFonts w:ascii="PermianSerifTypeface" w:hAnsi="PermianSerifTypeface"/>
          <w:lang w:val="ro-RO"/>
        </w:rPr>
        <w:t>și cele preluate din birourile istoriilor de credite</w:t>
      </w:r>
      <w:r w:rsidR="008D2A15" w:rsidRPr="00BE7F1E">
        <w:rPr>
          <w:rFonts w:ascii="PermianSerifTypeface" w:hAnsi="PermianSerifTypeface"/>
          <w:lang w:val="ro-RO"/>
        </w:rPr>
        <w:t xml:space="preserve"> din Republica Moldova</w:t>
      </w:r>
      <w:r w:rsidR="00175D4D" w:rsidRPr="00BE7F1E">
        <w:rPr>
          <w:rFonts w:ascii="PermianSerifTypeface" w:hAnsi="PermianSerifTypeface"/>
          <w:lang w:val="ro-RO"/>
        </w:rPr>
        <w:t xml:space="preserve"> și/sau din alte surse oficiale disponibile</w:t>
      </w:r>
      <w:r w:rsidRPr="00BE7F1E">
        <w:rPr>
          <w:rFonts w:ascii="PermianSerifTypeface" w:hAnsi="PermianSerifTypeface"/>
          <w:lang w:val="ro-RO"/>
        </w:rPr>
        <w:t>, se va considera valoarea mai mare dintre cele două.</w:t>
      </w:r>
    </w:p>
    <w:p w14:paraId="655A4BE9" w14:textId="57BE53DC" w:rsidR="00F872DC" w:rsidRPr="00BE7F1E" w:rsidRDefault="007C08A6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bookmarkStart w:id="8" w:name="_Ref100237097"/>
      <w:bookmarkStart w:id="9" w:name="_Ref88664794"/>
      <w:r w:rsidRPr="00BE7F1E">
        <w:rPr>
          <w:rFonts w:ascii="PermianSerifTypeface" w:hAnsi="PermianSerifTypeface"/>
          <w:lang w:val="ro-RO"/>
        </w:rPr>
        <w:t xml:space="preserve">Față de </w:t>
      </w:r>
      <w:r w:rsidR="00D83DDA" w:rsidRPr="00BE7F1E">
        <w:rPr>
          <w:rFonts w:ascii="PermianSerifTypeface" w:hAnsi="PermianSerifTypeface"/>
          <w:lang w:val="ro-RO"/>
        </w:rPr>
        <w:t>categoriile de</w:t>
      </w:r>
      <w:r w:rsidRPr="00BE7F1E">
        <w:rPr>
          <w:rFonts w:ascii="PermianSerifTypeface" w:hAnsi="PermianSerifTypeface"/>
          <w:lang w:val="ro-RO"/>
        </w:rPr>
        <w:t xml:space="preserve"> venituri</w:t>
      </w:r>
      <w:r w:rsidR="0059377E" w:rsidRPr="00BE7F1E">
        <w:rPr>
          <w:rFonts w:ascii="PermianSerifTypeface" w:hAnsi="PermianSerifTypeface"/>
          <w:lang w:val="ro-RO"/>
        </w:rPr>
        <w:t xml:space="preserve"> care</w:t>
      </w:r>
      <w:r w:rsidRPr="00BE7F1E">
        <w:rPr>
          <w:rFonts w:ascii="PermianSerifTypeface" w:hAnsi="PermianSerifTypeface"/>
          <w:lang w:val="ro-RO"/>
        </w:rPr>
        <w:t xml:space="preserve"> se pot modifica semnificativ (</w:t>
      </w:r>
      <w:r w:rsidR="007E0E84" w:rsidRPr="00BE7F1E">
        <w:rPr>
          <w:rFonts w:ascii="PermianSerifTypeface" w:hAnsi="PermianSerifTypeface"/>
          <w:lang w:val="ro-RO"/>
        </w:rPr>
        <w:t>variația</w:t>
      </w:r>
      <w:r w:rsidR="00C93895" w:rsidRPr="00BE7F1E">
        <w:rPr>
          <w:rFonts w:ascii="PermianSerifTypeface" w:hAnsi="PermianSerifTypeface"/>
          <w:lang w:val="ro-RO"/>
        </w:rPr>
        <w:t xml:space="preserve"> sumei</w:t>
      </w:r>
      <w:r w:rsidR="007E0E84" w:rsidRPr="00BE7F1E">
        <w:rPr>
          <w:rFonts w:ascii="PermianSerifTypeface" w:hAnsi="PermianSerifTypeface"/>
          <w:lang w:val="ro-RO"/>
        </w:rPr>
        <w:t xml:space="preserve"> ultimelor 3 încasări din aceeași sursă depășește 1</w:t>
      </w:r>
      <w:r w:rsidR="0059377E" w:rsidRPr="00BE7F1E">
        <w:rPr>
          <w:rFonts w:ascii="PermianSerifTypeface" w:hAnsi="PermianSerifTypeface"/>
          <w:lang w:val="ro-RO"/>
        </w:rPr>
        <w:t>5</w:t>
      </w:r>
      <w:r w:rsidR="007E0E84" w:rsidRPr="00BE7F1E">
        <w:rPr>
          <w:rFonts w:ascii="PermianSerifTypeface" w:hAnsi="PermianSerifTypeface"/>
          <w:lang w:val="ro-RO"/>
        </w:rPr>
        <w:t>%</w:t>
      </w:r>
      <w:r w:rsidR="00C80A4D" w:rsidRPr="00BE7F1E">
        <w:rPr>
          <w:rFonts w:ascii="PermianSerifTypeface" w:hAnsi="PermianSerifTypeface"/>
          <w:lang w:val="ro-RO"/>
        </w:rPr>
        <w:t xml:space="preserve"> și/sau periodicitatea lor este mai mică decât o dată pe an pe parcursul ultimilor 3 ani</w:t>
      </w:r>
      <w:r w:rsidR="007E0E84" w:rsidRPr="00BE7F1E">
        <w:rPr>
          <w:rFonts w:ascii="PermianSerifTypeface" w:hAnsi="PermianSerifTypeface"/>
          <w:lang w:val="ro-RO"/>
        </w:rPr>
        <w:t>)</w:t>
      </w:r>
      <w:r w:rsidRPr="00BE7F1E">
        <w:rPr>
          <w:rFonts w:ascii="PermianSerifTypeface" w:hAnsi="PermianSerifTypeface"/>
          <w:lang w:val="ro-RO"/>
        </w:rPr>
        <w:t xml:space="preserve"> sau a căror sustenabilitate este îndoielnică </w:t>
      </w:r>
      <w:r w:rsidR="00565832" w:rsidRPr="00BE7F1E">
        <w:rPr>
          <w:rFonts w:ascii="PermianSerifTypeface" w:hAnsi="PermianSerifTypeface"/>
          <w:lang w:val="ro-RO"/>
        </w:rPr>
        <w:t>se aplică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59377E" w:rsidRPr="00BE7F1E">
        <w:rPr>
          <w:rFonts w:ascii="PermianSerifTypeface" w:hAnsi="PermianSerifTypeface"/>
          <w:lang w:val="ro-RO"/>
        </w:rPr>
        <w:t>coeficienți de ajustare în funcție de gradul de certitudine și de caracterul de permanență al acestor</w:t>
      </w:r>
      <w:r w:rsidR="00D83DDA" w:rsidRPr="00BE7F1E">
        <w:rPr>
          <w:rFonts w:ascii="PermianSerifTypeface" w:hAnsi="PermianSerifTypeface"/>
          <w:lang w:val="ro-RO"/>
        </w:rPr>
        <w:t xml:space="preserve"> venituri</w:t>
      </w:r>
      <w:r w:rsidR="00F872DC" w:rsidRPr="00BE7F1E">
        <w:rPr>
          <w:rFonts w:ascii="PermianSerifTypeface" w:hAnsi="PermianSerifTypeface"/>
          <w:lang w:val="ro-RO"/>
        </w:rPr>
        <w:t xml:space="preserve">, </w:t>
      </w:r>
      <w:r w:rsidR="0059377E" w:rsidRPr="00BE7F1E">
        <w:rPr>
          <w:rFonts w:ascii="PermianSerifTypeface" w:hAnsi="PermianSerifTypeface"/>
          <w:lang w:val="ro-RO"/>
        </w:rPr>
        <w:t>stabilite</w:t>
      </w:r>
      <w:r w:rsidR="0055121A" w:rsidRPr="00BE7F1E">
        <w:rPr>
          <w:rFonts w:ascii="PermianSerifTypeface" w:hAnsi="PermianSerifTypeface"/>
          <w:lang w:val="ro-RO"/>
        </w:rPr>
        <w:t xml:space="preserve"> și revizuite</w:t>
      </w:r>
      <w:r w:rsidR="0059377E" w:rsidRPr="00BE7F1E">
        <w:rPr>
          <w:rFonts w:ascii="PermianSerifTypeface" w:hAnsi="PermianSerifTypeface"/>
          <w:lang w:val="ro-RO"/>
        </w:rPr>
        <w:t xml:space="preserve"> de</w:t>
      </w:r>
      <w:r w:rsidR="007E0E84" w:rsidRPr="00BE7F1E">
        <w:rPr>
          <w:rFonts w:ascii="PermianSerifTypeface" w:hAnsi="PermianSerifTypeface"/>
          <w:lang w:val="ro-RO"/>
        </w:rPr>
        <w:t xml:space="preserve"> </w:t>
      </w:r>
      <w:r w:rsidR="00476649" w:rsidRPr="00BE7F1E">
        <w:rPr>
          <w:rFonts w:ascii="PermianSerifTypeface" w:hAnsi="PermianSerifTypeface"/>
          <w:lang w:val="ro-RO"/>
        </w:rPr>
        <w:t>creditor</w:t>
      </w:r>
      <w:r w:rsidR="00F872DC" w:rsidRPr="00BE7F1E">
        <w:rPr>
          <w:rFonts w:ascii="PermianSerifTypeface" w:hAnsi="PermianSerifTypeface"/>
          <w:lang w:val="ro-RO"/>
        </w:rPr>
        <w:t xml:space="preserve"> în politicile sale interne</w:t>
      </w:r>
      <w:r w:rsidR="004C6F35" w:rsidRPr="00BE7F1E">
        <w:rPr>
          <w:rFonts w:ascii="PermianSerifTypeface" w:hAnsi="PermianSerifTypeface"/>
          <w:lang w:val="ro-RO"/>
        </w:rPr>
        <w:t>.</w:t>
      </w:r>
      <w:bookmarkEnd w:id="8"/>
    </w:p>
    <w:p w14:paraId="38B12544" w14:textId="13B2839F" w:rsidR="004C6F35" w:rsidRPr="00BE7F1E" w:rsidRDefault="004C6F35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bookmarkStart w:id="10" w:name="_Ref103242628"/>
      <w:bookmarkStart w:id="11" w:name="_Hlk172134982"/>
      <w:r w:rsidRPr="00BE7F1E">
        <w:rPr>
          <w:rFonts w:ascii="PermianSerifTypeface" w:hAnsi="PermianSerifTypeface"/>
          <w:lang w:val="ro-RO"/>
        </w:rPr>
        <w:t xml:space="preserve">În cazurile menționate în </w:t>
      </w:r>
      <w:r w:rsidR="000E7090" w:rsidRPr="00BE7F1E">
        <w:rPr>
          <w:rFonts w:ascii="PermianSerifTypeface" w:hAnsi="PermianSerifTypeface"/>
          <w:lang w:val="ro-RO"/>
        </w:rPr>
        <w:t>pct</w:t>
      </w:r>
      <w:r w:rsidR="00E17E2A" w:rsidRPr="00BE7F1E">
        <w:rPr>
          <w:rFonts w:ascii="PermianSerifTypeface" w:hAnsi="PermianSerifTypeface"/>
          <w:lang w:val="ro-RO"/>
        </w:rPr>
        <w:t>.</w:t>
      </w:r>
      <w:r w:rsidR="00F872DC" w:rsidRPr="00BE7F1E">
        <w:rPr>
          <w:rFonts w:ascii="PermianSerifTypeface" w:hAnsi="PermianSerifTypeface"/>
          <w:lang w:val="ro-RO"/>
        </w:rPr>
        <w:fldChar w:fldCharType="begin"/>
      </w:r>
      <w:r w:rsidR="00F872DC" w:rsidRPr="00BE7F1E">
        <w:rPr>
          <w:rFonts w:ascii="PermianSerifTypeface" w:hAnsi="PermianSerifTypeface"/>
          <w:lang w:val="ro-RO"/>
        </w:rPr>
        <w:instrText xml:space="preserve"> REF _Ref100237097 \r \h </w:instrText>
      </w:r>
      <w:r w:rsidR="001C7156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F872DC" w:rsidRPr="00BE7F1E">
        <w:rPr>
          <w:rFonts w:ascii="PermianSerifTypeface" w:hAnsi="PermianSerifTypeface"/>
          <w:lang w:val="ro-RO"/>
        </w:rPr>
      </w:r>
      <w:r w:rsidR="00F872DC" w:rsidRPr="00BE7F1E">
        <w:rPr>
          <w:rFonts w:ascii="PermianSerifTypeface" w:hAnsi="PermianSerifTypeface"/>
          <w:lang w:val="ro-RO"/>
        </w:rPr>
        <w:fldChar w:fldCharType="separate"/>
      </w:r>
      <w:r w:rsidR="00916BEF" w:rsidRPr="00BE7F1E">
        <w:rPr>
          <w:rFonts w:ascii="PermianSerifTypeface" w:hAnsi="PermianSerifTypeface"/>
          <w:lang w:val="ro-RO"/>
        </w:rPr>
        <w:t>17</w:t>
      </w:r>
      <w:r w:rsidR="00F872DC" w:rsidRPr="00BE7F1E">
        <w:rPr>
          <w:rFonts w:ascii="PermianSerifTypeface" w:hAnsi="PermianSerifTypeface"/>
          <w:lang w:val="ro-RO"/>
        </w:rPr>
        <w:fldChar w:fldCharType="end"/>
      </w:r>
      <w:r w:rsidRPr="00BE7F1E">
        <w:rPr>
          <w:rFonts w:ascii="PermianSerifTypeface" w:hAnsi="PermianSerifTypeface"/>
          <w:lang w:val="ro-RO"/>
        </w:rPr>
        <w:t xml:space="preserve"> și atunci când </w:t>
      </w:r>
      <w:r w:rsidR="00430E5D" w:rsidRPr="00BE7F1E">
        <w:rPr>
          <w:rFonts w:ascii="PermianSerifTypeface" w:hAnsi="PermianSerifTypeface"/>
          <w:lang w:val="ro-RO"/>
        </w:rPr>
        <w:t>consuma</w:t>
      </w:r>
      <w:r w:rsidRPr="00BE7F1E">
        <w:rPr>
          <w:rFonts w:ascii="PermianSerifTypeface" w:hAnsi="PermianSerifTypeface"/>
          <w:lang w:val="ro-RO"/>
        </w:rPr>
        <w:t xml:space="preserve">torul </w:t>
      </w:r>
      <w:bookmarkStart w:id="12" w:name="_Hlk103267319"/>
      <w:r w:rsidR="00030A4E" w:rsidRPr="00BE7F1E">
        <w:rPr>
          <w:rFonts w:ascii="PermianSerifTypeface" w:hAnsi="PermianSerifTypeface"/>
          <w:lang w:val="ro-RO"/>
        </w:rPr>
        <w:t>deține o sursă de venit</w:t>
      </w:r>
      <w:r w:rsidR="00A96C20" w:rsidRPr="00BE7F1E">
        <w:rPr>
          <w:rFonts w:ascii="PermianSerifTypeface" w:hAnsi="PermianSerifTypeface"/>
          <w:lang w:val="ro-RO"/>
        </w:rPr>
        <w:t xml:space="preserve">uri </w:t>
      </w:r>
      <w:r w:rsidR="00945052" w:rsidRPr="00BE7F1E">
        <w:rPr>
          <w:rFonts w:ascii="PermianSerifTypeface" w:hAnsi="PermianSerifTypeface"/>
          <w:lang w:val="ro-RO"/>
        </w:rPr>
        <w:t xml:space="preserve">neregulate </w:t>
      </w:r>
      <w:r w:rsidR="00030A4E" w:rsidRPr="00BE7F1E">
        <w:rPr>
          <w:rFonts w:ascii="PermianSerifTypeface" w:hAnsi="PermianSerifTypeface"/>
          <w:lang w:val="ro-RO"/>
        </w:rPr>
        <w:t>(de ex.</w:t>
      </w:r>
      <w:r w:rsidR="00EE3571" w:rsidRPr="00BE7F1E">
        <w:rPr>
          <w:rFonts w:ascii="PermianSerifTypeface" w:hAnsi="PermianSerifTypeface"/>
          <w:lang w:val="ro-RO"/>
        </w:rPr>
        <w:t xml:space="preserve"> </w:t>
      </w:r>
      <w:r w:rsidR="00030A4E" w:rsidRPr="00BE7F1E">
        <w:rPr>
          <w:rFonts w:ascii="PermianSerifTypeface" w:hAnsi="PermianSerifTypeface"/>
          <w:lang w:val="ro-RO"/>
        </w:rPr>
        <w:t>di</w:t>
      </w:r>
      <w:r w:rsidRPr="00BE7F1E">
        <w:rPr>
          <w:rFonts w:ascii="PermianSerifTypeface" w:hAnsi="PermianSerifTypeface"/>
          <w:lang w:val="ro-RO"/>
        </w:rPr>
        <w:t xml:space="preserve">n activitate </w:t>
      </w:r>
      <w:r w:rsidR="00030A4E" w:rsidRPr="00BE7F1E">
        <w:rPr>
          <w:rFonts w:ascii="PermianSerifTypeface" w:hAnsi="PermianSerifTypeface"/>
          <w:lang w:val="ro-RO"/>
        </w:rPr>
        <w:t xml:space="preserve">de întreprinzător </w:t>
      </w:r>
      <w:r w:rsidR="00A23DC8" w:rsidRPr="00BE7F1E">
        <w:rPr>
          <w:rFonts w:ascii="PermianSerifTypeface" w:hAnsi="PermianSerifTypeface"/>
          <w:lang w:val="ro-RO"/>
        </w:rPr>
        <w:t>sau profesională</w:t>
      </w:r>
      <w:r w:rsidRPr="00BE7F1E">
        <w:rPr>
          <w:rFonts w:ascii="PermianSerifTypeface" w:hAnsi="PermianSerifTypeface"/>
          <w:lang w:val="ro-RO"/>
        </w:rPr>
        <w:t xml:space="preserve">, </w:t>
      </w:r>
      <w:r w:rsidR="00565832" w:rsidRPr="00BE7F1E">
        <w:rPr>
          <w:rFonts w:ascii="PermianSerifTypeface" w:hAnsi="PermianSerifTypeface"/>
          <w:lang w:val="ro-RO"/>
        </w:rPr>
        <w:t>în baza patentei</w:t>
      </w:r>
      <w:r w:rsidRPr="00BE7F1E">
        <w:rPr>
          <w:rFonts w:ascii="PermianSerifTypeface" w:hAnsi="PermianSerifTypeface"/>
          <w:lang w:val="ro-RO"/>
        </w:rPr>
        <w:t xml:space="preserve"> de întreprinzător </w:t>
      </w:r>
      <w:r w:rsidR="00A04EDF" w:rsidRPr="00BE7F1E">
        <w:rPr>
          <w:rFonts w:ascii="PermianSerifTypeface" w:hAnsi="PermianSerifTypeface"/>
          <w:lang w:val="ro-RO"/>
        </w:rPr>
        <w:t>sau din lucrări sezoniere</w:t>
      </w:r>
      <w:r w:rsidR="000900E4" w:rsidRPr="00BE7F1E">
        <w:rPr>
          <w:rFonts w:ascii="PermianSerifTypeface" w:hAnsi="PermianSerifTypeface"/>
          <w:lang w:val="ro-RO"/>
        </w:rPr>
        <w:t>,</w:t>
      </w:r>
      <w:r w:rsidR="00A04EDF" w:rsidRPr="00BE7F1E">
        <w:rPr>
          <w:rFonts w:ascii="PermianSerifTypeface" w:hAnsi="PermianSerifTypeface"/>
          <w:lang w:val="ro-RO"/>
        </w:rPr>
        <w:t xml:space="preserve"> </w:t>
      </w:r>
      <w:r w:rsidR="00A84A75" w:rsidRPr="00BE7F1E">
        <w:rPr>
          <w:rFonts w:ascii="PermianSerifTypeface" w:hAnsi="PermianSerifTypeface"/>
          <w:lang w:val="ro-RO"/>
        </w:rPr>
        <w:t>venituri din arendă, chirie, locațiune, drepturi de autor, precum și alte venituri</w:t>
      </w:r>
      <w:r w:rsidR="00030A4E" w:rsidRPr="00BE7F1E">
        <w:rPr>
          <w:rFonts w:ascii="PermianSerifTypeface" w:hAnsi="PermianSerifTypeface"/>
          <w:lang w:val="ro-RO"/>
        </w:rPr>
        <w:t>)</w:t>
      </w:r>
      <w:bookmarkEnd w:id="12"/>
      <w:r w:rsidRPr="00BE7F1E">
        <w:rPr>
          <w:rFonts w:ascii="PermianSerifTypeface" w:hAnsi="PermianSerifTypeface"/>
          <w:lang w:val="ro-RO"/>
        </w:rPr>
        <w:t>, creditorul</w:t>
      </w:r>
      <w:r w:rsidR="006411E4" w:rsidRPr="00BE7F1E">
        <w:rPr>
          <w:rFonts w:ascii="PermianSerifTypeface" w:hAnsi="PermianSerifTypeface"/>
          <w:lang w:val="ro-RO"/>
        </w:rPr>
        <w:t xml:space="preserve"> </w:t>
      </w:r>
      <w:r w:rsidR="00887A36" w:rsidRPr="00BE7F1E">
        <w:rPr>
          <w:rFonts w:ascii="PermianSerifTypeface" w:hAnsi="PermianSerifTypeface"/>
          <w:lang w:val="ro-RO"/>
        </w:rPr>
        <w:t xml:space="preserve">urmează să </w:t>
      </w:r>
      <w:r w:rsidR="006411E4" w:rsidRPr="00BE7F1E">
        <w:rPr>
          <w:rFonts w:ascii="PermianSerifTypeface" w:hAnsi="PermianSerifTypeface"/>
          <w:lang w:val="ro-RO"/>
        </w:rPr>
        <w:t>recunoa</w:t>
      </w:r>
      <w:r w:rsidR="00887A36" w:rsidRPr="00BE7F1E">
        <w:rPr>
          <w:rFonts w:ascii="PermianSerifTypeface" w:hAnsi="PermianSerifTypeface"/>
          <w:lang w:val="ro-RO"/>
        </w:rPr>
        <w:t>scă</w:t>
      </w:r>
      <w:r w:rsidR="006411E4" w:rsidRPr="00BE7F1E">
        <w:rPr>
          <w:rFonts w:ascii="PermianSerifTypeface" w:hAnsi="PermianSerifTypeface"/>
          <w:lang w:val="ro-RO"/>
        </w:rPr>
        <w:t xml:space="preserve"> </w:t>
      </w:r>
      <w:r w:rsidR="004174F1" w:rsidRPr="00BE7F1E">
        <w:rPr>
          <w:rFonts w:ascii="PermianSerifTypeface" w:hAnsi="PermianSerifTypeface"/>
          <w:lang w:val="ro-RO"/>
        </w:rPr>
        <w:t>venitul</w:t>
      </w:r>
      <w:r w:rsidR="00E6280C" w:rsidRPr="00BE7F1E">
        <w:rPr>
          <w:rFonts w:ascii="PermianSerifTypeface" w:hAnsi="PermianSerifTypeface"/>
          <w:lang w:val="ro-RO"/>
        </w:rPr>
        <w:t xml:space="preserve"> în scopul calculării RSDV</w:t>
      </w:r>
      <w:r w:rsidR="00676626" w:rsidRPr="00BE7F1E">
        <w:rPr>
          <w:rFonts w:ascii="PermianSerifTypeface" w:hAnsi="PermianSerifTypeface"/>
          <w:lang w:val="ro-RO"/>
        </w:rPr>
        <w:t xml:space="preserve">, </w:t>
      </w:r>
      <w:r w:rsidR="004174F1" w:rsidRPr="00BE7F1E">
        <w:rPr>
          <w:rFonts w:ascii="PermianSerifTypeface" w:hAnsi="PermianSerifTypeface"/>
          <w:lang w:val="ro-RO"/>
        </w:rPr>
        <w:t xml:space="preserve">în cazul în care </w:t>
      </w:r>
      <w:r w:rsidR="00E655FB" w:rsidRPr="00BE7F1E">
        <w:rPr>
          <w:rFonts w:ascii="PermianSerifTypeface" w:hAnsi="PermianSerifTypeface"/>
          <w:lang w:val="ro-RO"/>
        </w:rPr>
        <w:t xml:space="preserve">sunt </w:t>
      </w:r>
      <w:r w:rsidR="004174F1" w:rsidRPr="00BE7F1E">
        <w:rPr>
          <w:rFonts w:ascii="PermianSerifTypeface" w:hAnsi="PermianSerifTypeface"/>
          <w:lang w:val="ro-RO"/>
        </w:rPr>
        <w:t>confirma</w:t>
      </w:r>
      <w:r w:rsidR="00E67B26" w:rsidRPr="00BE7F1E">
        <w:rPr>
          <w:rFonts w:ascii="PermianSerifTypeface" w:hAnsi="PermianSerifTypeface"/>
          <w:lang w:val="ro-RO"/>
        </w:rPr>
        <w:t>te</w:t>
      </w:r>
      <w:r w:rsidR="004174F1" w:rsidRPr="00BE7F1E">
        <w:rPr>
          <w:rFonts w:ascii="PermianSerifTypeface" w:hAnsi="PermianSerifTypeface"/>
          <w:lang w:val="ro-RO"/>
        </w:rPr>
        <w:t xml:space="preserve"> cel puțin 3 încasări pe parcursul a 6 luni consecutive</w:t>
      </w:r>
      <w:r w:rsidR="0096534C" w:rsidRPr="00BE7F1E">
        <w:rPr>
          <w:rFonts w:ascii="PermianSerifTypeface" w:hAnsi="PermianSerifTypeface"/>
          <w:lang w:val="ro-RO"/>
        </w:rPr>
        <w:t xml:space="preserve"> în cadrul unei perioade</w:t>
      </w:r>
      <w:r w:rsidR="004174F1" w:rsidRPr="00BE7F1E">
        <w:rPr>
          <w:rFonts w:ascii="PermianSerifTypeface" w:hAnsi="PermianSerifTypeface"/>
          <w:lang w:val="ro-RO"/>
        </w:rPr>
        <w:t xml:space="preserve"> de 12 luni până la depunerea cererii pentru credit</w:t>
      </w:r>
      <w:r w:rsidRPr="00BE7F1E">
        <w:rPr>
          <w:rFonts w:ascii="PermianSerifTypeface" w:hAnsi="PermianSerifTypeface"/>
          <w:lang w:val="ro-RO"/>
        </w:rPr>
        <w:t>.</w:t>
      </w:r>
      <w:bookmarkEnd w:id="9"/>
      <w:bookmarkEnd w:id="10"/>
      <w:r w:rsidR="00B613F8" w:rsidRPr="00BE7F1E">
        <w:rPr>
          <w:rFonts w:ascii="PermianSerifTypeface" w:hAnsi="PermianSerifTypeface"/>
          <w:lang w:val="ro-RO"/>
        </w:rPr>
        <w:t xml:space="preserve"> În cazul în care consumatorul primește venituri sub formă de dividende, </w:t>
      </w:r>
      <w:r w:rsidR="00533965" w:rsidRPr="00BE7F1E">
        <w:rPr>
          <w:rFonts w:ascii="PermianSerifTypeface" w:hAnsi="PermianSerifTypeface"/>
          <w:lang w:val="ro-RO"/>
        </w:rPr>
        <w:t>precum și alte venituri</w:t>
      </w:r>
      <w:r w:rsidR="008873AA" w:rsidRPr="00BE7F1E">
        <w:rPr>
          <w:rFonts w:ascii="PermianSerifTypeface" w:hAnsi="PermianSerifTypeface"/>
          <w:lang w:val="ro-RO"/>
        </w:rPr>
        <w:t xml:space="preserve"> care conform contractului sunt obținute anual</w:t>
      </w:r>
      <w:r w:rsidR="00533965" w:rsidRPr="00BE7F1E">
        <w:rPr>
          <w:rFonts w:ascii="PermianSerifTypeface" w:hAnsi="PermianSerifTypeface"/>
          <w:lang w:val="ro-RO"/>
        </w:rPr>
        <w:t xml:space="preserve">, </w:t>
      </w:r>
      <w:r w:rsidR="00B613F8" w:rsidRPr="00BE7F1E">
        <w:rPr>
          <w:rFonts w:ascii="PermianSerifTypeface" w:hAnsi="PermianSerifTypeface"/>
          <w:lang w:val="ro-RO"/>
        </w:rPr>
        <w:t>creditorul</w:t>
      </w:r>
      <w:r w:rsidR="00FC7FCD" w:rsidRPr="00BE7F1E">
        <w:rPr>
          <w:rFonts w:ascii="PermianSerifTypeface" w:hAnsi="PermianSerifTypeface"/>
          <w:lang w:val="ro-RO"/>
        </w:rPr>
        <w:t>,</w:t>
      </w:r>
      <w:r w:rsidR="00B613F8" w:rsidRPr="00BE7F1E">
        <w:rPr>
          <w:rFonts w:ascii="PermianSerifTypeface" w:hAnsi="PermianSerifTypeface"/>
          <w:lang w:val="ro-RO"/>
        </w:rPr>
        <w:t xml:space="preserve"> </w:t>
      </w:r>
      <w:r w:rsidR="00FC7FCD" w:rsidRPr="00BE7F1E">
        <w:rPr>
          <w:rFonts w:ascii="PermianSerifTypeface" w:hAnsi="PermianSerifTypeface"/>
          <w:lang w:val="ro-RO"/>
        </w:rPr>
        <w:t xml:space="preserve">în scopul calculării RSDV, </w:t>
      </w:r>
      <w:r w:rsidR="00422F7D" w:rsidRPr="00BE7F1E">
        <w:rPr>
          <w:rFonts w:ascii="PermianSerifTypeface" w:hAnsi="PermianSerifTypeface"/>
          <w:lang w:val="ro-RO"/>
        </w:rPr>
        <w:t xml:space="preserve">urmează să </w:t>
      </w:r>
      <w:r w:rsidR="00B613F8" w:rsidRPr="00BE7F1E">
        <w:rPr>
          <w:rFonts w:ascii="PermianSerifTypeface" w:hAnsi="PermianSerifTypeface"/>
          <w:lang w:val="ro-RO"/>
        </w:rPr>
        <w:t>recunoa</w:t>
      </w:r>
      <w:r w:rsidR="00422F7D" w:rsidRPr="00BE7F1E">
        <w:rPr>
          <w:rFonts w:ascii="PermianSerifTypeface" w:hAnsi="PermianSerifTypeface"/>
          <w:lang w:val="ro-RO"/>
        </w:rPr>
        <w:t>scă</w:t>
      </w:r>
      <w:r w:rsidR="00B613F8" w:rsidRPr="00BE7F1E">
        <w:rPr>
          <w:rFonts w:ascii="PermianSerifTypeface" w:hAnsi="PermianSerifTypeface"/>
          <w:lang w:val="ro-RO"/>
        </w:rPr>
        <w:t xml:space="preserve"> </w:t>
      </w:r>
      <w:r w:rsidR="00FC7FCD" w:rsidRPr="00BE7F1E">
        <w:rPr>
          <w:rFonts w:ascii="PermianSerifTypeface" w:hAnsi="PermianSerifTypeface"/>
          <w:lang w:val="ro-RO"/>
        </w:rPr>
        <w:t>aceste venituri încasate</w:t>
      </w:r>
      <w:r w:rsidR="00B613F8" w:rsidRPr="00BE7F1E">
        <w:rPr>
          <w:rFonts w:ascii="PermianSerifTypeface" w:hAnsi="PermianSerifTypeface"/>
          <w:lang w:val="ro-RO"/>
        </w:rPr>
        <w:t xml:space="preserve"> pe parcursul ultim</w:t>
      </w:r>
      <w:r w:rsidR="0072223B" w:rsidRPr="00BE7F1E">
        <w:rPr>
          <w:rFonts w:ascii="PermianSerifTypeface" w:hAnsi="PermianSerifTypeface"/>
          <w:lang w:val="ro-RO"/>
        </w:rPr>
        <w:t>e</w:t>
      </w:r>
      <w:r w:rsidR="00B613F8" w:rsidRPr="00BE7F1E">
        <w:rPr>
          <w:rFonts w:ascii="PermianSerifTypeface" w:hAnsi="PermianSerifTypeface"/>
          <w:lang w:val="ro-RO"/>
        </w:rPr>
        <w:t>lor 12 luni până la depunerea cererii pentru credit</w:t>
      </w:r>
      <w:r w:rsidR="00FC7FCD" w:rsidRPr="00BE7F1E">
        <w:rPr>
          <w:rFonts w:ascii="PermianSerifTypeface" w:hAnsi="PermianSerifTypeface"/>
          <w:lang w:val="ro-RO"/>
        </w:rPr>
        <w:t>ul</w:t>
      </w:r>
      <w:r w:rsidR="00B613F8" w:rsidRPr="00BE7F1E">
        <w:rPr>
          <w:rFonts w:ascii="PermianSerifTypeface" w:hAnsi="PermianSerifTypeface"/>
          <w:lang w:val="ro-RO"/>
        </w:rPr>
        <w:t xml:space="preserve"> respectiv</w:t>
      </w:r>
      <w:r w:rsidR="00860AF1" w:rsidRPr="00BE7F1E">
        <w:rPr>
          <w:rFonts w:ascii="PermianSerifTypeface" w:hAnsi="PermianSerifTypeface"/>
          <w:lang w:val="ro-RO"/>
        </w:rPr>
        <w:t xml:space="preserve">, </w:t>
      </w:r>
      <w:r w:rsidR="00860AF1" w:rsidRPr="00BE7F1E">
        <w:rPr>
          <w:rFonts w:ascii="PermianSerifTypeface" w:hAnsi="PermianSerifTypeface"/>
          <w:lang w:val="ro-MD"/>
        </w:rPr>
        <w:t xml:space="preserve">ținând cont de prevederile </w:t>
      </w:r>
      <w:r w:rsidR="0072223B" w:rsidRPr="00BE7F1E">
        <w:rPr>
          <w:rFonts w:ascii="PermianSerifTypeface" w:hAnsi="PermianSerifTypeface"/>
          <w:lang w:val="ro-MD"/>
        </w:rPr>
        <w:t xml:space="preserve">din </w:t>
      </w:r>
      <w:r w:rsidR="00860AF1" w:rsidRPr="00BE7F1E">
        <w:rPr>
          <w:rFonts w:ascii="PermianSerifTypeface" w:hAnsi="PermianSerifTypeface"/>
          <w:lang w:val="ro-MD"/>
        </w:rPr>
        <w:t>pct.17</w:t>
      </w:r>
      <w:r w:rsidR="00B613F8" w:rsidRPr="00BE7F1E">
        <w:rPr>
          <w:rFonts w:ascii="PermianSerifTypeface" w:hAnsi="PermianSerifTypeface"/>
          <w:lang w:val="ro-RO"/>
        </w:rPr>
        <w:t>.</w:t>
      </w:r>
    </w:p>
    <w:bookmarkEnd w:id="11"/>
    <w:p w14:paraId="7EEF6822" w14:textId="70721977" w:rsidR="004C6F35" w:rsidRPr="00BE7F1E" w:rsidRDefault="0055121A" w:rsidP="00497793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În cazul în care consumatorul solicită majorarea valorii totale a creditului după încheierea contractului de credit inițial, creditorul urmează să efectueze evaluarea repetată a bonității consumatorului. Evaluarea repetată urmează să fie realizată în baza informațiilor actualizate aferente consumatorului și garanțiilor, în cazul existenței acestora, acceptate de creditor pentru asigurarea creditului/împrumutului.</w:t>
      </w:r>
    </w:p>
    <w:p w14:paraId="6339C356" w14:textId="66BD34CF" w:rsidR="00251E74" w:rsidRPr="00BE7F1E" w:rsidRDefault="004C6F35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bookmarkStart w:id="13" w:name="_Ref88664777"/>
      <w:bookmarkStart w:id="14" w:name="_Ref103173153"/>
      <w:r w:rsidRPr="00BE7F1E">
        <w:rPr>
          <w:rFonts w:ascii="PermianSerifTypeface" w:hAnsi="PermianSerifTypeface"/>
          <w:lang w:val="ro-RO"/>
        </w:rPr>
        <w:t>În cazul în care credit</w:t>
      </w:r>
      <w:r w:rsidR="00042F50" w:rsidRPr="00BE7F1E">
        <w:rPr>
          <w:rFonts w:ascii="PermianSerifTypeface" w:hAnsi="PermianSerifTypeface"/>
          <w:lang w:val="ro-RO"/>
        </w:rPr>
        <w:t>ul</w:t>
      </w:r>
      <w:r w:rsidRPr="00BE7F1E">
        <w:rPr>
          <w:rFonts w:ascii="PermianSerifTypeface" w:hAnsi="PermianSerifTypeface"/>
          <w:lang w:val="ro-RO"/>
        </w:rPr>
        <w:t xml:space="preserve"> este </w:t>
      </w:r>
      <w:r w:rsidR="007372A5" w:rsidRPr="00BE7F1E">
        <w:rPr>
          <w:rFonts w:ascii="PermianSerifTypeface" w:hAnsi="PermianSerifTypeface"/>
          <w:lang w:val="ro-RO"/>
        </w:rPr>
        <w:t xml:space="preserve">acordat sau </w:t>
      </w:r>
      <w:r w:rsidRPr="00BE7F1E">
        <w:rPr>
          <w:rFonts w:ascii="PermianSerifTypeface" w:hAnsi="PermianSerifTypeface"/>
          <w:lang w:val="ro-RO"/>
        </w:rPr>
        <w:t xml:space="preserve">atașat la cursul </w:t>
      </w:r>
      <w:r w:rsidR="00886658" w:rsidRPr="00BE7F1E">
        <w:rPr>
          <w:rFonts w:ascii="PermianSerifTypeface" w:hAnsi="PermianSerifTypeface"/>
          <w:lang w:val="ro-RO"/>
        </w:rPr>
        <w:t xml:space="preserve">unei </w:t>
      </w:r>
      <w:r w:rsidR="007372A5" w:rsidRPr="00BE7F1E">
        <w:rPr>
          <w:rFonts w:ascii="PermianSerifTypeface" w:hAnsi="PermianSerifTypeface"/>
          <w:lang w:val="ro-RO"/>
        </w:rPr>
        <w:t>monede (națională sau străină)</w:t>
      </w:r>
      <w:r w:rsidR="00886658" w:rsidRPr="00BE7F1E">
        <w:rPr>
          <w:rFonts w:ascii="PermianSerifTypeface" w:hAnsi="PermianSerifTypeface"/>
          <w:lang w:val="ro-RO"/>
        </w:rPr>
        <w:t>, iar</w:t>
      </w:r>
      <w:r w:rsidR="00D202C2" w:rsidRPr="00BE7F1E">
        <w:rPr>
          <w:rFonts w:ascii="PermianSerifTypeface" w:hAnsi="PermianSerifTypeface"/>
          <w:lang w:val="ro-RO"/>
        </w:rPr>
        <w:t xml:space="preserve">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="00D202C2" w:rsidRPr="00BE7F1E">
        <w:rPr>
          <w:rFonts w:ascii="PermianSerifTypeface" w:hAnsi="PermianSerifTypeface"/>
          <w:lang w:val="ro-RO"/>
        </w:rPr>
        <w:t>ul primește</w:t>
      </w:r>
      <w:r w:rsidR="007C08A6" w:rsidRPr="00BE7F1E">
        <w:rPr>
          <w:rFonts w:ascii="PermianSerifTypeface" w:hAnsi="PermianSerifTypeface"/>
          <w:lang w:val="ro-RO"/>
        </w:rPr>
        <w:t xml:space="preserve"> venitu</w:t>
      </w:r>
      <w:r w:rsidR="00D202C2" w:rsidRPr="00BE7F1E">
        <w:rPr>
          <w:rFonts w:ascii="PermianSerifTypeface" w:hAnsi="PermianSerifTypeface"/>
          <w:lang w:val="ro-RO"/>
        </w:rPr>
        <w:t>ri</w:t>
      </w:r>
      <w:r w:rsidR="00886658" w:rsidRPr="00BE7F1E">
        <w:rPr>
          <w:rFonts w:ascii="PermianSerifTypeface" w:hAnsi="PermianSerifTypeface"/>
          <w:lang w:val="ro-RO"/>
        </w:rPr>
        <w:t xml:space="preserve"> </w:t>
      </w:r>
      <w:r w:rsidR="00E94484" w:rsidRPr="00BE7F1E">
        <w:rPr>
          <w:rFonts w:ascii="PermianSerifTypeface" w:hAnsi="PermianSerifTypeface"/>
          <w:lang w:val="ro-RO"/>
        </w:rPr>
        <w:t xml:space="preserve">într-o </w:t>
      </w:r>
      <w:r w:rsidR="00B32177" w:rsidRPr="00BE7F1E">
        <w:rPr>
          <w:rFonts w:ascii="PermianSerifTypeface" w:hAnsi="PermianSerifTypeface"/>
          <w:lang w:val="ro-RO"/>
        </w:rPr>
        <w:t>altă</w:t>
      </w:r>
      <w:r w:rsidR="007372A5" w:rsidRPr="00BE7F1E">
        <w:rPr>
          <w:rFonts w:ascii="PermianSerifTypeface" w:hAnsi="PermianSerifTypeface"/>
          <w:lang w:val="ro-RO"/>
        </w:rPr>
        <w:t xml:space="preserve"> monedă </w:t>
      </w:r>
      <w:r w:rsidR="00B32177" w:rsidRPr="00BE7F1E">
        <w:rPr>
          <w:rFonts w:ascii="PermianSerifTypeface" w:hAnsi="PermianSerifTypeface"/>
          <w:lang w:val="ro-RO"/>
        </w:rPr>
        <w:t>decât</w:t>
      </w:r>
      <w:r w:rsidR="00E94484" w:rsidRPr="00BE7F1E">
        <w:rPr>
          <w:rFonts w:ascii="PermianSerifTypeface" w:hAnsi="PermianSerifTypeface"/>
          <w:lang w:val="ro-RO"/>
        </w:rPr>
        <w:t xml:space="preserve"> </w:t>
      </w:r>
      <w:r w:rsidR="00E92C44" w:rsidRPr="00BE7F1E">
        <w:rPr>
          <w:rFonts w:ascii="PermianSerifTypeface" w:hAnsi="PermianSerifTypeface"/>
          <w:lang w:val="ro-RO"/>
        </w:rPr>
        <w:t xml:space="preserve">acea a </w:t>
      </w:r>
      <w:r w:rsidR="00E94484" w:rsidRPr="00BE7F1E">
        <w:rPr>
          <w:rFonts w:ascii="PermianSerifTypeface" w:hAnsi="PermianSerifTypeface"/>
          <w:lang w:val="ro-RO"/>
        </w:rPr>
        <w:t>creditul</w:t>
      </w:r>
      <w:r w:rsidR="00E92C44" w:rsidRPr="00BE7F1E">
        <w:rPr>
          <w:rFonts w:ascii="PermianSerifTypeface" w:hAnsi="PermianSerifTypeface"/>
          <w:lang w:val="ro-RO"/>
        </w:rPr>
        <w:t>ui</w:t>
      </w:r>
      <w:r w:rsidRPr="00BE7F1E">
        <w:rPr>
          <w:rFonts w:ascii="PermianSerifTypeface" w:hAnsi="PermianSerifTypeface"/>
          <w:lang w:val="ro-RO"/>
        </w:rPr>
        <w:t xml:space="preserve">, creditorul </w:t>
      </w:r>
      <w:r w:rsidR="007C08A6" w:rsidRPr="00BE7F1E">
        <w:rPr>
          <w:rFonts w:ascii="PermianSerifTypeface" w:hAnsi="PermianSerifTypeface"/>
          <w:lang w:val="ro-RO"/>
        </w:rPr>
        <w:t>trebuie să țină cont de</w:t>
      </w:r>
      <w:r w:rsidRPr="00BE7F1E">
        <w:rPr>
          <w:rFonts w:ascii="PermianSerifTypeface" w:hAnsi="PermianSerifTypeface"/>
          <w:lang w:val="ro-RO"/>
        </w:rPr>
        <w:t xml:space="preserve"> riscul valutar și</w:t>
      </w:r>
      <w:r w:rsidR="00D1227E" w:rsidRPr="00BE7F1E">
        <w:rPr>
          <w:rFonts w:ascii="PermianSerifTypeface" w:hAnsi="PermianSerifTypeface"/>
          <w:lang w:val="ro-RO"/>
        </w:rPr>
        <w:t xml:space="preserve"> </w:t>
      </w:r>
      <w:r w:rsidR="007C08A6" w:rsidRPr="00BE7F1E">
        <w:rPr>
          <w:rFonts w:ascii="PermianSerifTypeface" w:hAnsi="PermianSerifTypeface"/>
          <w:lang w:val="ro-RO"/>
        </w:rPr>
        <w:t xml:space="preserve">să </w:t>
      </w:r>
      <w:r w:rsidRPr="00BE7F1E">
        <w:rPr>
          <w:rFonts w:ascii="PermianSerifTypeface" w:hAnsi="PermianSerifTypeface"/>
          <w:lang w:val="ro-RO"/>
        </w:rPr>
        <w:t>aplic</w:t>
      </w:r>
      <w:r w:rsidR="007C08A6" w:rsidRPr="00BE7F1E">
        <w:rPr>
          <w:rFonts w:ascii="PermianSerifTypeface" w:hAnsi="PermianSerifTypeface"/>
          <w:lang w:val="ro-RO"/>
        </w:rPr>
        <w:t>e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886658" w:rsidRPr="00BE7F1E">
        <w:rPr>
          <w:rFonts w:ascii="PermianSerifTypeface" w:hAnsi="PermianSerifTypeface"/>
          <w:lang w:val="ro-RO"/>
        </w:rPr>
        <w:t>limita RSDV de</w:t>
      </w:r>
      <w:r w:rsidR="00D1227E" w:rsidRPr="00BE7F1E">
        <w:rPr>
          <w:rFonts w:ascii="PermianSerifTypeface" w:hAnsi="PermianSerifTypeface"/>
          <w:lang w:val="ro-RO"/>
        </w:rPr>
        <w:t xml:space="preserve"> </w:t>
      </w:r>
      <w:r w:rsidR="009B6B44" w:rsidRPr="00BE7F1E">
        <w:rPr>
          <w:rFonts w:ascii="PermianSerifTypeface" w:hAnsi="PermianSerifTypeface"/>
          <w:b/>
          <w:bCs/>
          <w:lang w:val="ro-RO"/>
        </w:rPr>
        <w:t>35</w:t>
      </w:r>
      <w:r w:rsidR="00D1227E" w:rsidRPr="00BE7F1E">
        <w:rPr>
          <w:rFonts w:ascii="PermianSerifTypeface" w:hAnsi="PermianSerifTypeface"/>
          <w:b/>
          <w:bCs/>
          <w:lang w:val="ro-RO"/>
        </w:rPr>
        <w:t>%</w:t>
      </w:r>
      <w:r w:rsidRPr="00BE7F1E">
        <w:rPr>
          <w:rFonts w:ascii="PermianSerifTypeface" w:hAnsi="PermianSerifTypeface"/>
          <w:lang w:val="ro-RO"/>
        </w:rPr>
        <w:t>.</w:t>
      </w:r>
      <w:bookmarkEnd w:id="13"/>
      <w:bookmarkEnd w:id="14"/>
      <w:r w:rsidR="00E94484" w:rsidRPr="00BE7F1E">
        <w:rPr>
          <w:rFonts w:ascii="PermianSerifTypeface" w:hAnsi="PermianSerifTypeface"/>
          <w:lang w:val="ro-RO"/>
        </w:rPr>
        <w:t xml:space="preserve"> </w:t>
      </w:r>
    </w:p>
    <w:p w14:paraId="2193D1E6" w14:textId="4C722747" w:rsidR="004A4047" w:rsidRPr="00BE7F1E" w:rsidRDefault="00997180" w:rsidP="00497793">
      <w:pPr>
        <w:spacing w:before="240" w:after="240"/>
        <w:rPr>
          <w:rFonts w:ascii="PermianSerifTypeface" w:eastAsia="Arial Unicode MS" w:hAnsi="PermianSerifTypeface"/>
          <w:bCs/>
          <w:i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lastRenderedPageBreak/>
        <w:t>S</w:t>
      </w:r>
      <w:r w:rsidR="004A4047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ecțiunea </w:t>
      </w:r>
      <w:r w:rsidR="003E75F2" w:rsidRPr="00BE7F1E">
        <w:rPr>
          <w:rFonts w:ascii="PermianSerifTypeface" w:eastAsia="Arial Unicode MS" w:hAnsi="PermianSerifTypeface"/>
          <w:b/>
          <w:bCs/>
          <w:i/>
          <w:lang w:val="ro-RO"/>
        </w:rPr>
        <w:t>3</w:t>
      </w:r>
      <w:r w:rsidR="004A4047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. </w:t>
      </w:r>
      <w:r w:rsidR="008267DE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Raportul </w:t>
      </w:r>
      <w:r w:rsidR="000D0449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dintre </w:t>
      </w:r>
      <w:r w:rsidR="008267DE" w:rsidRPr="00BE7F1E">
        <w:rPr>
          <w:rFonts w:ascii="PermianSerifTypeface" w:eastAsia="Arial Unicode MS" w:hAnsi="PermianSerifTypeface"/>
          <w:b/>
          <w:bCs/>
          <w:i/>
          <w:lang w:val="ro-RO"/>
        </w:rPr>
        <w:t>credit</w:t>
      </w:r>
      <w:r w:rsidR="00C31C53" w:rsidRPr="00BE7F1E">
        <w:rPr>
          <w:rFonts w:ascii="PermianSerifTypeface" w:eastAsia="Arial Unicode MS" w:hAnsi="PermianSerifTypeface"/>
          <w:b/>
          <w:bCs/>
          <w:i/>
          <w:lang w:val="ro-RO"/>
        </w:rPr>
        <w:t>e</w:t>
      </w:r>
      <w:r w:rsidR="008267DE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</w:t>
      </w:r>
      <w:r w:rsidR="000D0449" w:rsidRPr="00BE7F1E">
        <w:rPr>
          <w:rFonts w:ascii="PermianSerifTypeface" w:eastAsia="Arial Unicode MS" w:hAnsi="PermianSerifTypeface"/>
          <w:b/>
          <w:bCs/>
          <w:i/>
          <w:lang w:val="ro-RO"/>
        </w:rPr>
        <w:t>și</w:t>
      </w:r>
      <w:r w:rsidR="008267DE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garanții</w:t>
      </w:r>
    </w:p>
    <w:p w14:paraId="13D84225" w14:textId="1F4C3360" w:rsidR="008267DE" w:rsidRPr="00BE7F1E" w:rsidRDefault="008267DE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bookmarkStart w:id="15" w:name="_Ref75939935"/>
      <w:r w:rsidRPr="00BE7F1E">
        <w:rPr>
          <w:rFonts w:ascii="PermianSerifTypeface" w:hAnsi="PermianSerifTypeface"/>
          <w:lang w:val="ro-RO"/>
        </w:rPr>
        <w:t xml:space="preserve">RCG </w:t>
      </w:r>
      <w:r w:rsidR="006D6FA3" w:rsidRPr="00BE7F1E">
        <w:rPr>
          <w:rFonts w:ascii="PermianSerifTypeface" w:hAnsi="PermianSerifTypeface"/>
          <w:lang w:val="ro-RO"/>
        </w:rPr>
        <w:t xml:space="preserve">se aplică </w:t>
      </w:r>
      <w:r w:rsidR="006D5E42" w:rsidRPr="00BE7F1E">
        <w:rPr>
          <w:rFonts w:ascii="PermianSerifTypeface" w:hAnsi="PermianSerifTypeface"/>
          <w:lang w:val="ro-RO"/>
        </w:rPr>
        <w:t xml:space="preserve">numai </w:t>
      </w:r>
      <w:r w:rsidR="006D6FA3" w:rsidRPr="00BE7F1E">
        <w:rPr>
          <w:rFonts w:ascii="PermianSerifTypeface" w:hAnsi="PermianSerifTypeface"/>
          <w:lang w:val="ro-RO"/>
        </w:rPr>
        <w:t xml:space="preserve">creditelor </w:t>
      </w:r>
      <w:r w:rsidR="00186E3A" w:rsidRPr="00BE7F1E">
        <w:rPr>
          <w:rFonts w:ascii="PermianSerifTypeface" w:hAnsi="PermianSerifTypeface"/>
          <w:lang w:val="ro-RO"/>
        </w:rPr>
        <w:t>pentru investiții</w:t>
      </w:r>
      <w:r w:rsidR="006D6FA3" w:rsidRPr="00BE7F1E">
        <w:rPr>
          <w:rFonts w:ascii="PermianSerifTypeface" w:hAnsi="PermianSerifTypeface"/>
          <w:lang w:val="ro-RO"/>
        </w:rPr>
        <w:t xml:space="preserve"> imobiliare acordate </w:t>
      </w:r>
      <w:r w:rsidR="00186E3A" w:rsidRPr="00BE7F1E">
        <w:rPr>
          <w:rFonts w:ascii="PermianSerifTypeface" w:hAnsi="PermianSerifTypeface"/>
          <w:lang w:val="ro-RO"/>
        </w:rPr>
        <w:t>consumatorilor</w:t>
      </w:r>
      <w:r w:rsidR="006D5E42" w:rsidRPr="00BE7F1E">
        <w:rPr>
          <w:rFonts w:ascii="PermianSerifTypeface" w:hAnsi="PermianSerifTypeface"/>
          <w:lang w:val="ro-RO"/>
        </w:rPr>
        <w:t xml:space="preserve"> </w:t>
      </w:r>
      <w:r w:rsidR="006D6FA3" w:rsidRPr="00BE7F1E">
        <w:rPr>
          <w:rFonts w:ascii="PermianSerifTypeface" w:hAnsi="PermianSerifTypeface"/>
          <w:lang w:val="ro-RO"/>
        </w:rPr>
        <w:t xml:space="preserve">și </w:t>
      </w:r>
      <w:r w:rsidRPr="00BE7F1E">
        <w:rPr>
          <w:rFonts w:ascii="PermianSerifTypeface" w:hAnsi="PermianSerifTypeface"/>
          <w:lang w:val="ro-RO"/>
        </w:rPr>
        <w:t xml:space="preserve">nu poate depăși </w:t>
      </w:r>
      <w:r w:rsidR="00D1227E" w:rsidRPr="00BE7F1E">
        <w:rPr>
          <w:rFonts w:ascii="PermianSerifTypeface" w:hAnsi="PermianSerifTypeface"/>
          <w:b/>
          <w:bCs/>
          <w:lang w:val="ro-RO"/>
        </w:rPr>
        <w:t>80%</w:t>
      </w:r>
      <w:r w:rsidRPr="00BE7F1E">
        <w:rPr>
          <w:rFonts w:ascii="PermianSerifTypeface" w:hAnsi="PermianSerifTypeface"/>
          <w:lang w:val="ro-RO"/>
        </w:rPr>
        <w:t xml:space="preserve">, cu excepția cazurilor specificate </w:t>
      </w:r>
      <w:r w:rsidR="000D0449" w:rsidRPr="00BE7F1E">
        <w:rPr>
          <w:rFonts w:ascii="PermianSerifTypeface" w:hAnsi="PermianSerifTypeface"/>
          <w:lang w:val="ro-RO"/>
        </w:rPr>
        <w:t>la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565832" w:rsidRPr="00BE7F1E">
        <w:rPr>
          <w:rFonts w:ascii="PermianSerifTypeface" w:hAnsi="PermianSerifTypeface"/>
          <w:lang w:val="ro-RO"/>
        </w:rPr>
        <w:t>pct</w:t>
      </w:r>
      <w:r w:rsidR="00E17E2A" w:rsidRPr="00BE7F1E">
        <w:rPr>
          <w:rFonts w:ascii="PermianSerifTypeface" w:hAnsi="PermianSerifTypeface"/>
          <w:lang w:val="ro-RO"/>
        </w:rPr>
        <w:t>.</w:t>
      </w:r>
      <w:r w:rsidR="00697A08" w:rsidRPr="00BE7F1E">
        <w:rPr>
          <w:rFonts w:ascii="PermianSerifTypeface" w:hAnsi="PermianSerifTypeface"/>
          <w:lang w:val="ro-RO"/>
        </w:rPr>
        <w:fldChar w:fldCharType="begin"/>
      </w:r>
      <w:r w:rsidR="00697A08" w:rsidRPr="00BE7F1E">
        <w:rPr>
          <w:rFonts w:ascii="PermianSerifTypeface" w:hAnsi="PermianSerifTypeface"/>
          <w:lang w:val="ro-RO"/>
        </w:rPr>
        <w:instrText xml:space="preserve"> REF _Ref85535075 \r \h </w:instrText>
      </w:r>
      <w:r w:rsidR="00B140F8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697A08" w:rsidRPr="00BE7F1E">
        <w:rPr>
          <w:rFonts w:ascii="PermianSerifTypeface" w:hAnsi="PermianSerifTypeface"/>
          <w:lang w:val="ro-RO"/>
        </w:rPr>
      </w:r>
      <w:r w:rsidR="00697A08" w:rsidRPr="00BE7F1E">
        <w:rPr>
          <w:rFonts w:ascii="PermianSerifTypeface" w:hAnsi="PermianSerifTypeface"/>
          <w:lang w:val="ro-RO"/>
        </w:rPr>
        <w:fldChar w:fldCharType="separate"/>
      </w:r>
      <w:r w:rsidR="00916BEF" w:rsidRPr="00BE7F1E">
        <w:rPr>
          <w:rFonts w:ascii="PermianSerifTypeface" w:hAnsi="PermianSerifTypeface"/>
          <w:lang w:val="ro-RO"/>
        </w:rPr>
        <w:t>26</w:t>
      </w:r>
      <w:r w:rsidR="00697A08" w:rsidRPr="00BE7F1E">
        <w:rPr>
          <w:rFonts w:ascii="PermianSerifTypeface" w:hAnsi="PermianSerifTypeface"/>
          <w:lang w:val="ro-RO"/>
        </w:rPr>
        <w:fldChar w:fldCharType="end"/>
      </w:r>
      <w:r w:rsidR="006F206F" w:rsidRPr="00BE7F1E">
        <w:rPr>
          <w:rFonts w:ascii="PermianSerifTypeface" w:hAnsi="PermianSerifTypeface"/>
          <w:lang w:val="ro-RO"/>
        </w:rPr>
        <w:t xml:space="preserve"> </w:t>
      </w:r>
      <w:r w:rsidR="00916BEF" w:rsidRPr="00BE7F1E">
        <w:rPr>
          <w:rFonts w:ascii="PermianSerifTypeface" w:hAnsi="PermianSerifTypeface"/>
          <w:lang w:val="ro-RO"/>
        </w:rPr>
        <w:t>și</w:t>
      </w:r>
      <w:r w:rsidR="00BD6C9D" w:rsidRPr="00BE7F1E">
        <w:rPr>
          <w:rFonts w:ascii="PermianSerifTypeface" w:hAnsi="PermianSerifTypeface"/>
          <w:lang w:val="ro-RO"/>
        </w:rPr>
        <w:t xml:space="preserve"> pct.</w:t>
      </w:r>
      <w:r w:rsidR="00204F96" w:rsidRPr="00BE7F1E">
        <w:rPr>
          <w:rFonts w:ascii="PermianSerifTypeface" w:hAnsi="PermianSerifTypeface"/>
          <w:lang w:val="ro-RO"/>
        </w:rPr>
        <w:fldChar w:fldCharType="begin"/>
      </w:r>
      <w:r w:rsidR="00204F96" w:rsidRPr="00BE7F1E">
        <w:rPr>
          <w:rFonts w:ascii="PermianSerifTypeface" w:hAnsi="PermianSerifTypeface"/>
          <w:lang w:val="ro-RO"/>
        </w:rPr>
        <w:instrText xml:space="preserve"> REF _Ref75505927 \r \h  \* MERGEFORMAT </w:instrText>
      </w:r>
      <w:r w:rsidR="00204F96" w:rsidRPr="00BE7F1E">
        <w:rPr>
          <w:rFonts w:ascii="PermianSerifTypeface" w:hAnsi="PermianSerifTypeface"/>
          <w:lang w:val="ro-RO"/>
        </w:rPr>
      </w:r>
      <w:r w:rsidR="00204F96" w:rsidRPr="00BE7F1E">
        <w:rPr>
          <w:rFonts w:ascii="PermianSerifTypeface" w:hAnsi="PermianSerifTypeface"/>
          <w:lang w:val="ro-RO"/>
        </w:rPr>
        <w:fldChar w:fldCharType="separate"/>
      </w:r>
      <w:r w:rsidR="00916BEF" w:rsidRPr="00BE7F1E">
        <w:rPr>
          <w:rFonts w:ascii="PermianSerifTypeface" w:hAnsi="PermianSerifTypeface"/>
          <w:lang w:val="ro-RO"/>
        </w:rPr>
        <w:t>29</w:t>
      </w:r>
      <w:r w:rsidR="00204F96" w:rsidRPr="00BE7F1E">
        <w:rPr>
          <w:rFonts w:ascii="PermianSerifTypeface" w:hAnsi="PermianSerifTypeface"/>
          <w:lang w:val="ro-RO"/>
        </w:rPr>
        <w:fldChar w:fldCharType="end"/>
      </w:r>
      <w:r w:rsidRPr="00BE7F1E">
        <w:rPr>
          <w:rFonts w:ascii="PermianSerifTypeface" w:hAnsi="PermianSerifTypeface"/>
          <w:lang w:val="ro-RO"/>
        </w:rPr>
        <w:t>.</w:t>
      </w:r>
      <w:bookmarkEnd w:id="15"/>
    </w:p>
    <w:p w14:paraId="2036AEE2" w14:textId="2A306E7C" w:rsidR="00BE2B56" w:rsidRPr="00BE7F1E" w:rsidRDefault="008267DE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La determinarea </w:t>
      </w:r>
      <w:r w:rsidR="00FF5C8E" w:rsidRPr="00BE7F1E">
        <w:rPr>
          <w:rFonts w:ascii="PermianSerifTypeface" w:hAnsi="PermianSerifTypeface"/>
          <w:lang w:val="ro-RO"/>
        </w:rPr>
        <w:t>mărimii</w:t>
      </w:r>
      <w:r w:rsidRPr="00BE7F1E">
        <w:rPr>
          <w:rFonts w:ascii="PermianSerifTypeface" w:hAnsi="PermianSerifTypeface"/>
          <w:lang w:val="ro-RO"/>
        </w:rPr>
        <w:t xml:space="preserve"> RCG, creditorul </w:t>
      </w:r>
      <w:r w:rsidR="00FF5C8E" w:rsidRPr="00BE7F1E">
        <w:rPr>
          <w:rFonts w:ascii="PermianSerifTypeface" w:hAnsi="PermianSerifTypeface"/>
          <w:lang w:val="ro-RO"/>
        </w:rPr>
        <w:t>urmează să excludă</w:t>
      </w:r>
      <w:r w:rsidRPr="00BE7F1E">
        <w:rPr>
          <w:rFonts w:ascii="PermianSerifTypeface" w:hAnsi="PermianSerifTypeface"/>
          <w:lang w:val="ro-RO"/>
        </w:rPr>
        <w:t xml:space="preserve"> ipoteza </w:t>
      </w:r>
      <w:r w:rsidR="00FF5C8E" w:rsidRPr="00BE7F1E">
        <w:rPr>
          <w:rFonts w:ascii="PermianSerifTypeface" w:hAnsi="PermianSerifTypeface"/>
          <w:lang w:val="ro-RO"/>
        </w:rPr>
        <w:t>majorării</w:t>
      </w:r>
      <w:r w:rsidRPr="00BE7F1E">
        <w:rPr>
          <w:rFonts w:ascii="PermianSerifTypeface" w:hAnsi="PermianSerifTypeface"/>
          <w:lang w:val="ro-RO"/>
        </w:rPr>
        <w:t xml:space="preserve"> valor</w:t>
      </w:r>
      <w:r w:rsidR="00FF5C8E" w:rsidRPr="00BE7F1E">
        <w:rPr>
          <w:rFonts w:ascii="PermianSerifTypeface" w:hAnsi="PermianSerifTypeface"/>
          <w:lang w:val="ro-RO"/>
        </w:rPr>
        <w:t>ii</w:t>
      </w:r>
      <w:r w:rsidRPr="00BE7F1E">
        <w:rPr>
          <w:rFonts w:ascii="PermianSerifTypeface" w:hAnsi="PermianSerifTypeface"/>
          <w:lang w:val="ro-RO"/>
        </w:rPr>
        <w:t xml:space="preserve"> imobilului în viitor (datorită creșterii prețurilor imobiliare, schimbării destinației imobilului etc.).</w:t>
      </w:r>
    </w:p>
    <w:p w14:paraId="14BB2221" w14:textId="7740E153" w:rsidR="008267DE" w:rsidRPr="00BE7F1E" w:rsidRDefault="0049551D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 </w:t>
      </w:r>
      <w:r w:rsidR="008267DE" w:rsidRPr="00BE7F1E">
        <w:rPr>
          <w:rFonts w:ascii="PermianSerifTypeface" w:hAnsi="PermianSerifTypeface"/>
          <w:lang w:val="ro-RO"/>
        </w:rPr>
        <w:t>RCG se calculează în conformitate cu următoarea formulă:</w:t>
      </w:r>
    </w:p>
    <w:p w14:paraId="37E4C56B" w14:textId="7AA5DB13" w:rsidR="00402E63" w:rsidRPr="00BE7F1E" w:rsidRDefault="0013180E" w:rsidP="00497793">
      <w:pPr>
        <w:spacing w:before="240" w:after="240"/>
        <w:jc w:val="center"/>
        <w:rPr>
          <w:rFonts w:ascii="PermianSerifTypeface" w:hAnsi="PermianSerifTypeface"/>
          <w:lang w:val="ro-RO"/>
        </w:rPr>
      </w:pPr>
      <w:bookmarkStart w:id="16" w:name="_Hlk75351710"/>
      <m:oMathPara>
        <m:oMath>
          <m:r>
            <w:rPr>
              <w:rFonts w:ascii="Cambria Math" w:hAnsi="Cambria Math"/>
              <w:lang w:val="ro-RO"/>
            </w:rPr>
            <m:t xml:space="preserve">RCG= 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/>
                  <w:lang w:val="ro-RO"/>
                </w:rPr>
                <m:t>Valoarea totală a creditului</m:t>
              </m:r>
            </m:num>
            <m:den>
              <m:r>
                <w:rPr>
                  <w:rFonts w:ascii="Cambria Math" w:hAnsi="Cambria Math"/>
                  <w:lang w:val="ro-RO"/>
                </w:rPr>
                <m:t>Valoarea imobilelor gajate</m:t>
              </m:r>
            </m:den>
          </m:f>
          <m:r>
            <w:rPr>
              <w:rFonts w:ascii="Cambria Math" w:hAnsi="Cambria Math"/>
              <w:lang w:val="ro-RO"/>
            </w:rPr>
            <m:t>×100%</m:t>
          </m:r>
        </m:oMath>
      </m:oMathPara>
      <w:bookmarkEnd w:id="16"/>
    </w:p>
    <w:p w14:paraId="114B0DD8" w14:textId="1DD8EB98" w:rsidR="00772B28" w:rsidRPr="00BE7F1E" w:rsidRDefault="00772B28" w:rsidP="00EA6274">
      <w:pPr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unde:</w:t>
      </w:r>
    </w:p>
    <w:p w14:paraId="4B23C336" w14:textId="5A34256E" w:rsidR="008267DE" w:rsidRPr="00BE7F1E" w:rsidRDefault="008267DE" w:rsidP="00497793">
      <w:pPr>
        <w:pStyle w:val="ListParagraph"/>
        <w:numPr>
          <w:ilvl w:val="0"/>
          <w:numId w:val="32"/>
        </w:numPr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i/>
          <w:iCs/>
          <w:lang w:val="ro-RO"/>
        </w:rPr>
        <w:t xml:space="preserve">Valoarea </w:t>
      </w:r>
      <w:r w:rsidR="00D60197" w:rsidRPr="00BE7F1E">
        <w:rPr>
          <w:rFonts w:ascii="PermianSerifTypeface" w:hAnsi="PermianSerifTypeface"/>
          <w:i/>
          <w:iCs/>
          <w:lang w:val="ro-RO"/>
        </w:rPr>
        <w:t xml:space="preserve">totală a </w:t>
      </w:r>
      <w:r w:rsidRPr="00BE7F1E">
        <w:rPr>
          <w:rFonts w:ascii="PermianSerifTypeface" w:hAnsi="PermianSerifTypeface"/>
          <w:i/>
          <w:iCs/>
          <w:lang w:val="ro-RO"/>
        </w:rPr>
        <w:t>creditului</w:t>
      </w:r>
      <w:r w:rsidRPr="00BE7F1E">
        <w:rPr>
          <w:rFonts w:ascii="PermianSerifTypeface" w:hAnsi="PermianSerifTypeface"/>
          <w:lang w:val="ro-RO"/>
        </w:rPr>
        <w:t xml:space="preserve"> reprezintă suma creditului, contractată în cadrul unui contract de credit;</w:t>
      </w:r>
    </w:p>
    <w:p w14:paraId="3604C203" w14:textId="63790FD8" w:rsidR="008267DE" w:rsidRPr="00BE7F1E" w:rsidRDefault="008267DE" w:rsidP="00497793">
      <w:pPr>
        <w:pStyle w:val="ListParagraph"/>
        <w:numPr>
          <w:ilvl w:val="0"/>
          <w:numId w:val="32"/>
        </w:numPr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i/>
          <w:iCs/>
          <w:lang w:val="ro-RO"/>
        </w:rPr>
        <w:t>Valoarea imobil</w:t>
      </w:r>
      <w:r w:rsidR="00EC7B69" w:rsidRPr="00BE7F1E">
        <w:rPr>
          <w:rFonts w:ascii="PermianSerifTypeface" w:hAnsi="PermianSerifTypeface"/>
          <w:i/>
          <w:iCs/>
          <w:lang w:val="ro-RO"/>
        </w:rPr>
        <w:t>elor</w:t>
      </w:r>
      <w:r w:rsidRPr="00BE7F1E">
        <w:rPr>
          <w:rFonts w:ascii="PermianSerifTypeface" w:hAnsi="PermianSerifTypeface"/>
          <w:i/>
          <w:iCs/>
          <w:lang w:val="ro-RO"/>
        </w:rPr>
        <w:t xml:space="preserve"> gajat</w:t>
      </w:r>
      <w:r w:rsidR="00EC7B69" w:rsidRPr="00BE7F1E">
        <w:rPr>
          <w:rFonts w:ascii="PermianSerifTypeface" w:hAnsi="PermianSerifTypeface"/>
          <w:i/>
          <w:iCs/>
          <w:lang w:val="ro-RO"/>
        </w:rPr>
        <w:t>e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173260" w:rsidRPr="00BE7F1E">
        <w:rPr>
          <w:rFonts w:ascii="PermianSerifTypeface" w:hAnsi="PermianSerifTypeface"/>
          <w:lang w:val="ro-RO"/>
        </w:rPr>
        <w:t xml:space="preserve">nu va depăși </w:t>
      </w:r>
      <w:r w:rsidR="00624567" w:rsidRPr="00BE7F1E">
        <w:rPr>
          <w:rFonts w:ascii="PermianSerifTypeface" w:hAnsi="PermianSerifTypeface"/>
          <w:lang w:val="ro-RO"/>
        </w:rPr>
        <w:t xml:space="preserve">suma dintre </w:t>
      </w:r>
      <w:r w:rsidRPr="00BE7F1E">
        <w:rPr>
          <w:rFonts w:ascii="PermianSerifTypeface" w:hAnsi="PermianSerifTypeface"/>
          <w:lang w:val="ro-RO"/>
        </w:rPr>
        <w:t>valo</w:t>
      </w:r>
      <w:r w:rsidR="00624567" w:rsidRPr="00BE7F1E">
        <w:rPr>
          <w:rFonts w:ascii="PermianSerifTypeface" w:hAnsi="PermianSerifTypeface"/>
          <w:lang w:val="ro-RO"/>
        </w:rPr>
        <w:t>a</w:t>
      </w:r>
      <w:r w:rsidRPr="00BE7F1E">
        <w:rPr>
          <w:rFonts w:ascii="PermianSerifTypeface" w:hAnsi="PermianSerifTypeface"/>
          <w:lang w:val="ro-RO"/>
        </w:rPr>
        <w:t>r</w:t>
      </w:r>
      <w:r w:rsidR="00624567" w:rsidRPr="00BE7F1E">
        <w:rPr>
          <w:rFonts w:ascii="PermianSerifTypeface" w:hAnsi="PermianSerifTypeface"/>
          <w:lang w:val="ro-RO"/>
        </w:rPr>
        <w:t>ea</w:t>
      </w:r>
      <w:r w:rsidRPr="00BE7F1E">
        <w:rPr>
          <w:rFonts w:ascii="PermianSerifTypeface" w:hAnsi="PermianSerifTypeface"/>
          <w:lang w:val="ro-RO"/>
        </w:rPr>
        <w:t xml:space="preserve"> de piață sau</w:t>
      </w:r>
      <w:r w:rsidR="00624567" w:rsidRPr="00BE7F1E">
        <w:rPr>
          <w:rFonts w:ascii="PermianSerifTypeface" w:hAnsi="PermianSerifTypeface"/>
          <w:lang w:val="ro-RO"/>
        </w:rPr>
        <w:t xml:space="preserve"> </w:t>
      </w:r>
      <w:r w:rsidRPr="00BE7F1E">
        <w:rPr>
          <w:rFonts w:ascii="PermianSerifTypeface" w:hAnsi="PermianSerifTypeface"/>
          <w:lang w:val="ro-RO"/>
        </w:rPr>
        <w:t>prețul imobil</w:t>
      </w:r>
      <w:r w:rsidR="00624567" w:rsidRPr="00BE7F1E">
        <w:rPr>
          <w:rFonts w:ascii="PermianSerifTypeface" w:hAnsi="PermianSerifTypeface"/>
          <w:lang w:val="ro-RO"/>
        </w:rPr>
        <w:t>ului gajat</w:t>
      </w:r>
      <w:r w:rsidR="00173260" w:rsidRPr="00BE7F1E">
        <w:rPr>
          <w:rFonts w:ascii="PermianSerifTypeface" w:hAnsi="PermianSerifTypeface"/>
          <w:lang w:val="ro-RO"/>
        </w:rPr>
        <w:t>,</w:t>
      </w:r>
      <w:r w:rsidR="00624567" w:rsidRPr="00BE7F1E">
        <w:rPr>
          <w:rFonts w:ascii="PermianSerifTypeface" w:hAnsi="PermianSerifTypeface"/>
          <w:lang w:val="ro-RO"/>
        </w:rPr>
        <w:t xml:space="preserve"> </w:t>
      </w:r>
      <w:r w:rsidR="00173260" w:rsidRPr="00BE7F1E">
        <w:rPr>
          <w:rFonts w:ascii="PermianSerifTypeface" w:hAnsi="PermianSerifTypeface"/>
          <w:lang w:val="ro-RO"/>
        </w:rPr>
        <w:t xml:space="preserve">oricare dintre cele două este mai mică, </w:t>
      </w:r>
      <w:r w:rsidR="00624567" w:rsidRPr="00BE7F1E">
        <w:rPr>
          <w:rFonts w:ascii="PermianSerifTypeface" w:hAnsi="PermianSerifTypeface"/>
          <w:lang w:val="ro-RO"/>
        </w:rPr>
        <w:t xml:space="preserve">pentru </w:t>
      </w:r>
      <w:r w:rsidR="006226AA" w:rsidRPr="00BE7F1E">
        <w:rPr>
          <w:rFonts w:ascii="PermianSerifTypeface" w:hAnsi="PermianSerifTypeface"/>
          <w:lang w:val="ro-RO"/>
        </w:rPr>
        <w:t>toate</w:t>
      </w:r>
      <w:r w:rsidR="00624567" w:rsidRPr="00BE7F1E">
        <w:rPr>
          <w:rFonts w:ascii="PermianSerifTypeface" w:hAnsi="PermianSerifTypeface"/>
          <w:lang w:val="ro-RO"/>
        </w:rPr>
        <w:t xml:space="preserve"> imobil</w:t>
      </w:r>
      <w:r w:rsidR="0042787F" w:rsidRPr="00BE7F1E">
        <w:rPr>
          <w:rFonts w:ascii="PermianSerifTypeface" w:hAnsi="PermianSerifTypeface"/>
          <w:lang w:val="ro-RO"/>
        </w:rPr>
        <w:t>el</w:t>
      </w:r>
      <w:r w:rsidR="00624567" w:rsidRPr="00BE7F1E">
        <w:rPr>
          <w:rFonts w:ascii="PermianSerifTypeface" w:hAnsi="PermianSerifTypeface"/>
          <w:lang w:val="ro-RO"/>
        </w:rPr>
        <w:t>e</w:t>
      </w:r>
      <w:r w:rsidRPr="00BE7F1E">
        <w:rPr>
          <w:rFonts w:ascii="PermianSerifTypeface" w:hAnsi="PermianSerifTypeface"/>
          <w:lang w:val="ro-RO"/>
        </w:rPr>
        <w:t xml:space="preserve"> gajat</w:t>
      </w:r>
      <w:r w:rsidR="0042787F" w:rsidRPr="00BE7F1E">
        <w:rPr>
          <w:rFonts w:ascii="PermianSerifTypeface" w:hAnsi="PermianSerifTypeface"/>
          <w:lang w:val="ro-RO"/>
        </w:rPr>
        <w:t>e</w:t>
      </w:r>
      <w:r w:rsidR="00624567" w:rsidRPr="00BE7F1E">
        <w:rPr>
          <w:rFonts w:ascii="PermianSerifTypeface" w:hAnsi="PermianSerifTypeface"/>
          <w:lang w:val="ro-RO"/>
        </w:rPr>
        <w:t xml:space="preserve"> pentru creditul respectiv</w:t>
      </w:r>
      <w:r w:rsidR="00772B28" w:rsidRPr="00BE7F1E">
        <w:rPr>
          <w:rFonts w:ascii="PermianSerifTypeface" w:hAnsi="PermianSerifTypeface"/>
          <w:lang w:val="ro-RO"/>
        </w:rPr>
        <w:t>.</w:t>
      </w:r>
    </w:p>
    <w:p w14:paraId="572ABFE7" w14:textId="3AE7FA0E" w:rsidR="00624567" w:rsidRPr="00BE7F1E" w:rsidRDefault="006E2D07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bookmarkStart w:id="17" w:name="_Ref75879463"/>
      <w:r w:rsidRPr="00BE7F1E">
        <w:rPr>
          <w:rFonts w:ascii="PermianSerifTypeface" w:hAnsi="PermianSerifTypeface"/>
          <w:lang w:val="ro-RO"/>
        </w:rPr>
        <w:t xml:space="preserve"> </w:t>
      </w:r>
      <w:r w:rsidR="00624567" w:rsidRPr="00BE7F1E">
        <w:rPr>
          <w:rFonts w:ascii="PermianSerifTypeface" w:hAnsi="PermianSerifTypeface"/>
          <w:lang w:val="ro-RO"/>
        </w:rPr>
        <w:t xml:space="preserve">În cazul în care valoarea imobilului care este gajat s-a majorat față de prețul specificat în contractul de vânzare-cumpărare, </w:t>
      </w:r>
      <w:r w:rsidR="00BD0BE7" w:rsidRPr="00BE7F1E">
        <w:rPr>
          <w:rFonts w:ascii="PermianSerifTypeface" w:hAnsi="PermianSerifTypeface"/>
          <w:lang w:val="ro-RO"/>
        </w:rPr>
        <w:t xml:space="preserve">ca </w:t>
      </w:r>
      <w:r w:rsidR="00624567" w:rsidRPr="00BE7F1E">
        <w:rPr>
          <w:rFonts w:ascii="PermianSerifTypeface" w:hAnsi="PermianSerifTypeface"/>
          <w:lang w:val="ro-RO"/>
        </w:rPr>
        <w:t>urmare a investițiilor capitale efectuate după procurarea acestuia, în valoarea imobilelor gajate se va include valoarea de piață a imobilului gajat.</w:t>
      </w:r>
    </w:p>
    <w:p w14:paraId="51CB0114" w14:textId="4B18C8FD" w:rsidR="00DF3E68" w:rsidRPr="00BE7F1E" w:rsidRDefault="00DF3E68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În cazul în care imobilul este gajat pentru două sau mai multe credite, valoarea imobilului se divizează proporțional pe aceste credite, în funcție de soldul creditelor.</w:t>
      </w:r>
    </w:p>
    <w:p w14:paraId="2DFD8F5B" w14:textId="333FD576" w:rsidR="008267DE" w:rsidRPr="00BE7F1E" w:rsidRDefault="006E2D07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bookmarkStart w:id="18" w:name="_Ref85535075"/>
      <w:r w:rsidRPr="00BE7F1E">
        <w:rPr>
          <w:rFonts w:ascii="PermianSerifTypeface" w:hAnsi="PermianSerifTypeface"/>
          <w:lang w:val="ro-RO"/>
        </w:rPr>
        <w:t xml:space="preserve"> </w:t>
      </w:r>
      <w:r w:rsidR="008267DE" w:rsidRPr="00BE7F1E">
        <w:rPr>
          <w:rFonts w:ascii="PermianSerifTypeface" w:hAnsi="PermianSerifTypeface"/>
          <w:lang w:val="ro-RO"/>
        </w:rPr>
        <w:t xml:space="preserve">RCG nu se aplică contractelor de credit care vizează refinanțarea creditelor acordate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="008267DE" w:rsidRPr="00BE7F1E">
        <w:rPr>
          <w:rFonts w:ascii="PermianSerifTypeface" w:hAnsi="PermianSerifTypeface"/>
          <w:lang w:val="ro-RO"/>
        </w:rPr>
        <w:t>ului, cu condiția îndeplinirii tuturor condițiilor de mai jos:</w:t>
      </w:r>
      <w:bookmarkEnd w:id="17"/>
      <w:bookmarkEnd w:id="18"/>
    </w:p>
    <w:p w14:paraId="73716541" w14:textId="339ACA08" w:rsidR="008267DE" w:rsidRPr="00BE7F1E" w:rsidRDefault="008267DE" w:rsidP="00497793">
      <w:pPr>
        <w:numPr>
          <w:ilvl w:val="1"/>
          <w:numId w:val="4"/>
        </w:numPr>
        <w:tabs>
          <w:tab w:val="left" w:pos="284"/>
        </w:tabs>
        <w:ind w:left="284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soldul curent al sumei creditului nu crește </w:t>
      </w:r>
      <w:r w:rsidR="00BD0BE7" w:rsidRPr="00BE7F1E">
        <w:rPr>
          <w:rFonts w:ascii="PermianSerifTypeface" w:hAnsi="PermianSerifTypeface"/>
          <w:lang w:val="ro-RO"/>
        </w:rPr>
        <w:t xml:space="preserve">ca </w:t>
      </w:r>
      <w:r w:rsidRPr="00BE7F1E">
        <w:rPr>
          <w:rFonts w:ascii="PermianSerifTypeface" w:hAnsi="PermianSerifTypeface"/>
          <w:lang w:val="ro-RO"/>
        </w:rPr>
        <w:t>urmare a refinanțării;</w:t>
      </w:r>
    </w:p>
    <w:p w14:paraId="60466E97" w14:textId="62D274CF" w:rsidR="008267DE" w:rsidRPr="00BE7F1E" w:rsidRDefault="008267DE" w:rsidP="00497793">
      <w:pPr>
        <w:numPr>
          <w:ilvl w:val="1"/>
          <w:numId w:val="4"/>
        </w:numPr>
        <w:tabs>
          <w:tab w:val="left" w:pos="284"/>
        </w:tabs>
        <w:ind w:left="284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imobilul gajat rămâne </w:t>
      </w:r>
      <w:r w:rsidR="00CD0E7D" w:rsidRPr="00BE7F1E">
        <w:rPr>
          <w:rFonts w:ascii="PermianSerifTypeface" w:hAnsi="PermianSerifTypeface"/>
          <w:lang w:val="ro-RO"/>
        </w:rPr>
        <w:t xml:space="preserve">același care asigură creditul refinanțat și valoarea de piață a acestuia nu s-a diminuat comparativ cu valoarea de piață indicată în contractul de ipotecă încheiat în scopul garantării creditului refinanțat sau în </w:t>
      </w:r>
      <w:r w:rsidR="0015111D" w:rsidRPr="00BE7F1E">
        <w:rPr>
          <w:rFonts w:ascii="PermianSerifTypeface" w:hAnsi="PermianSerifTypeface"/>
          <w:lang w:val="ro-RO"/>
        </w:rPr>
        <w:t xml:space="preserve">gaj </w:t>
      </w:r>
      <w:r w:rsidR="00CD0E7D" w:rsidRPr="00BE7F1E">
        <w:rPr>
          <w:rFonts w:ascii="PermianSerifTypeface" w:hAnsi="PermianSerifTypeface"/>
          <w:lang w:val="ro-RO"/>
        </w:rPr>
        <w:t>se propun</w:t>
      </w:r>
      <w:r w:rsidR="00663CB9" w:rsidRPr="00BE7F1E">
        <w:rPr>
          <w:rFonts w:ascii="PermianSerifTypeface" w:hAnsi="PermianSerifTypeface"/>
          <w:lang w:val="ro-RO"/>
        </w:rPr>
        <w:t>e</w:t>
      </w:r>
      <w:r w:rsidR="00CD0E7D" w:rsidRPr="00BE7F1E">
        <w:rPr>
          <w:rFonts w:ascii="PermianSerifTypeface" w:hAnsi="PermianSerifTypeface"/>
          <w:lang w:val="ro-RO"/>
        </w:rPr>
        <w:t xml:space="preserve"> alt imobil </w:t>
      </w:r>
      <w:r w:rsidR="00663CB9" w:rsidRPr="00BE7F1E">
        <w:rPr>
          <w:rFonts w:ascii="PermianSerifTypeface" w:hAnsi="PermianSerifTypeface"/>
          <w:lang w:val="ro-RO"/>
        </w:rPr>
        <w:t xml:space="preserve">astfel ca </w:t>
      </w:r>
      <w:r w:rsidR="00CD0E7D" w:rsidRPr="00BE7F1E">
        <w:rPr>
          <w:rFonts w:ascii="PermianSerifTypeface" w:hAnsi="PermianSerifTypeface"/>
          <w:lang w:val="ro-RO"/>
        </w:rPr>
        <w:t>valoarea de piață</w:t>
      </w:r>
      <w:r w:rsidR="00663CB9" w:rsidRPr="00BE7F1E">
        <w:rPr>
          <w:rFonts w:ascii="PermianSerifTypeface" w:hAnsi="PermianSerifTypeface"/>
          <w:lang w:val="ro-RO"/>
        </w:rPr>
        <w:t xml:space="preserve"> a imobilelor gajate să</w:t>
      </w:r>
      <w:r w:rsidR="00CD0E7D" w:rsidRPr="00BE7F1E">
        <w:rPr>
          <w:rFonts w:ascii="PermianSerifTypeface" w:hAnsi="PermianSerifTypeface"/>
          <w:lang w:val="ro-RO"/>
        </w:rPr>
        <w:t xml:space="preserve"> nu</w:t>
      </w:r>
      <w:r w:rsidR="00AE2968" w:rsidRPr="00BE7F1E">
        <w:rPr>
          <w:rFonts w:ascii="PermianSerifTypeface" w:hAnsi="PermianSerifTypeface"/>
          <w:lang w:val="ro-RO"/>
        </w:rPr>
        <w:t xml:space="preserve"> fie</w:t>
      </w:r>
      <w:r w:rsidR="00CD0E7D" w:rsidRPr="00BE7F1E">
        <w:rPr>
          <w:rFonts w:ascii="PermianSerifTypeface" w:hAnsi="PermianSerifTypeface"/>
          <w:lang w:val="ro-RO"/>
        </w:rPr>
        <w:t xml:space="preserve"> mai mică decât valoarea de piață a imobilului indicată în contractul de ipotecă încheiat în scopul garantării creditului refinanțat</w:t>
      </w:r>
      <w:r w:rsidRPr="00BE7F1E">
        <w:rPr>
          <w:rFonts w:ascii="PermianSerifTypeface" w:hAnsi="PermianSerifTypeface"/>
          <w:lang w:val="ro-RO"/>
        </w:rPr>
        <w:t>.</w:t>
      </w:r>
    </w:p>
    <w:p w14:paraId="0210D57B" w14:textId="1DAD5D97" w:rsidR="00402E63" w:rsidRPr="00BE7F1E" w:rsidRDefault="00FF5C8E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bookmarkStart w:id="19" w:name="_Ref75879470"/>
      <w:r w:rsidRPr="00BE7F1E">
        <w:rPr>
          <w:rFonts w:ascii="PermianSerifTypeface" w:hAnsi="PermianSerifTypeface"/>
          <w:lang w:val="ro-RO"/>
        </w:rPr>
        <w:t xml:space="preserve"> </w:t>
      </w:r>
      <w:r w:rsidR="008267DE" w:rsidRPr="00BE7F1E">
        <w:rPr>
          <w:rFonts w:ascii="PermianSerifTypeface" w:hAnsi="PermianSerifTypeface"/>
          <w:lang w:val="ro-RO"/>
        </w:rPr>
        <w:t xml:space="preserve">În cazul în care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="008267DE" w:rsidRPr="00BE7F1E">
        <w:rPr>
          <w:rFonts w:ascii="PermianSerifTypeface" w:hAnsi="PermianSerifTypeface"/>
          <w:lang w:val="ro-RO"/>
        </w:rPr>
        <w:t>ul încheie un contract de credit, iar statul, direct sau indirect, compensează</w:t>
      </w:r>
      <w:r w:rsidR="00A7152C" w:rsidRPr="00BE7F1E">
        <w:rPr>
          <w:rFonts w:ascii="PermianSerifTypeface" w:hAnsi="PermianSerifTypeface"/>
          <w:lang w:val="ro-RO"/>
        </w:rPr>
        <w:t xml:space="preserve"> și/sau garantează</w:t>
      </w:r>
      <w:r w:rsidR="008267DE" w:rsidRPr="00BE7F1E">
        <w:rPr>
          <w:rFonts w:ascii="PermianSerifTypeface" w:hAnsi="PermianSerifTypeface"/>
          <w:lang w:val="ro-RO"/>
        </w:rPr>
        <w:t xml:space="preserve"> parțial/total creditul în conformitate cu procedura prevăzută de actele normative ale Republicii Moldova, limita RCG </w:t>
      </w:r>
      <w:r w:rsidR="003706E3" w:rsidRPr="00BE7F1E">
        <w:rPr>
          <w:rFonts w:ascii="PermianSerifTypeface" w:hAnsi="PermianSerifTypeface"/>
          <w:lang w:val="ro-RO"/>
        </w:rPr>
        <w:t>se va calcula</w:t>
      </w:r>
      <w:r w:rsidR="008267DE" w:rsidRPr="00BE7F1E">
        <w:rPr>
          <w:rFonts w:ascii="PermianSerifTypeface" w:hAnsi="PermianSerifTypeface"/>
          <w:lang w:val="ro-RO"/>
        </w:rPr>
        <w:t xml:space="preserve"> ținând </w:t>
      </w:r>
      <w:r w:rsidR="00BD0BE7" w:rsidRPr="00BE7F1E">
        <w:rPr>
          <w:rFonts w:ascii="PermianSerifTypeface" w:hAnsi="PermianSerifTypeface"/>
          <w:lang w:val="ro-RO"/>
        </w:rPr>
        <w:t>cont</w:t>
      </w:r>
      <w:r w:rsidR="008267DE" w:rsidRPr="00BE7F1E">
        <w:rPr>
          <w:rFonts w:ascii="PermianSerifTypeface" w:hAnsi="PermianSerifTypeface"/>
          <w:lang w:val="ro-RO"/>
        </w:rPr>
        <w:t xml:space="preserve"> de cota din credit compensată</w:t>
      </w:r>
      <w:r w:rsidR="00FA3458" w:rsidRPr="00BE7F1E">
        <w:rPr>
          <w:rFonts w:ascii="PermianSerifTypeface" w:hAnsi="PermianSerifTypeface"/>
          <w:lang w:val="ro-RO"/>
        </w:rPr>
        <w:t xml:space="preserve"> și/sau garantată</w:t>
      </w:r>
      <w:bookmarkEnd w:id="19"/>
      <w:r w:rsidR="00402E63" w:rsidRPr="00BE7F1E">
        <w:rPr>
          <w:rFonts w:ascii="PermianSerifTypeface" w:hAnsi="PermianSerifTypeface"/>
          <w:lang w:val="ro-RO"/>
        </w:rPr>
        <w:t xml:space="preserve">, după cum urmează: </w:t>
      </w:r>
    </w:p>
    <w:p w14:paraId="0D5C3CC3" w14:textId="6B1A308F" w:rsidR="00402E63" w:rsidRPr="00BE7F1E" w:rsidRDefault="00402E63" w:rsidP="00497793">
      <w:pPr>
        <w:tabs>
          <w:tab w:val="left" w:pos="0"/>
        </w:tabs>
        <w:spacing w:before="240" w:after="240"/>
        <w:rPr>
          <w:rFonts w:ascii="PermianSerifTypeface" w:hAnsi="PermianSerifTypeface"/>
          <w:lang w:val="ro-RO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ro-RO"/>
            </w:rPr>
            <m:t xml:space="preserve">RCG= 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/>
                  <w:lang w:val="ro-RO"/>
                </w:rPr>
                <m:t xml:space="preserve">Valoarea totală a creditului-Valoarea garanției 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compensației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de stat</m:t>
              </m:r>
            </m:num>
            <m:den>
              <m:r>
                <w:rPr>
                  <w:rFonts w:ascii="Cambria Math" w:hAnsi="Cambria Math"/>
                  <w:lang w:val="ro-RO"/>
                </w:rPr>
                <m:t>Valoarea imobilelor gajate</m:t>
              </m:r>
            </m:den>
          </m:f>
          <m:r>
            <w:rPr>
              <w:rFonts w:ascii="Cambria Math" w:hAnsi="Cambria Math"/>
              <w:lang w:val="ro-RO"/>
            </w:rPr>
            <m:t>×100%</m:t>
          </m:r>
        </m:oMath>
      </m:oMathPara>
    </w:p>
    <w:p w14:paraId="2B48E9C7" w14:textId="19B8DD0D" w:rsidR="00D711F7" w:rsidRPr="00BE7F1E" w:rsidRDefault="00D6526A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it-IT"/>
        </w:rPr>
        <w:t xml:space="preserve"> </w:t>
      </w:r>
      <w:r w:rsidR="00D711F7" w:rsidRPr="00BE7F1E">
        <w:rPr>
          <w:rFonts w:ascii="PermianSerifTypeface" w:hAnsi="PermianSerifTypeface"/>
          <w:lang w:val="ro-RO"/>
        </w:rPr>
        <w:t xml:space="preserve">În cazul în care creditul este </w:t>
      </w:r>
      <w:r w:rsidR="00042F50" w:rsidRPr="00BE7F1E">
        <w:rPr>
          <w:rFonts w:ascii="PermianSerifTypeface" w:hAnsi="PermianSerifTypeface"/>
          <w:lang w:val="ro-RO"/>
        </w:rPr>
        <w:t xml:space="preserve">asigurat </w:t>
      </w:r>
      <w:r w:rsidR="00260F8D" w:rsidRPr="00BE7F1E">
        <w:rPr>
          <w:rFonts w:ascii="PermianSerifTypeface" w:hAnsi="PermianSerifTypeface"/>
          <w:lang w:val="ro-RO"/>
        </w:rPr>
        <w:t>parțial</w:t>
      </w:r>
      <w:r w:rsidR="00DA61F6" w:rsidRPr="00BE7F1E">
        <w:rPr>
          <w:rFonts w:ascii="PermianSerifTypeface" w:hAnsi="PermianSerifTypeface"/>
          <w:lang w:val="ro-RO"/>
        </w:rPr>
        <w:t xml:space="preserve"> printr-o garanție </w:t>
      </w:r>
      <w:r w:rsidR="00042F50" w:rsidRPr="00BE7F1E">
        <w:rPr>
          <w:rFonts w:ascii="PermianSerifTypeface" w:hAnsi="PermianSerifTypeface"/>
          <w:lang w:val="ro-RO"/>
        </w:rPr>
        <w:t xml:space="preserve">financiară </w:t>
      </w:r>
      <w:r w:rsidR="00DA61F6" w:rsidRPr="00BE7F1E">
        <w:rPr>
          <w:rFonts w:ascii="PermianSerifTypeface" w:hAnsi="PermianSerifTypeface"/>
          <w:lang w:val="ro-RO"/>
        </w:rPr>
        <w:t xml:space="preserve">sub forma unor </w:t>
      </w:r>
      <w:r w:rsidR="00D711F7" w:rsidRPr="00BE7F1E">
        <w:rPr>
          <w:rFonts w:ascii="PermianSerifTypeface" w:hAnsi="PermianSerifTypeface"/>
          <w:lang w:val="ro-RO"/>
        </w:rPr>
        <w:t xml:space="preserve">depozite </w:t>
      </w:r>
      <w:r w:rsidR="00DA61F6" w:rsidRPr="00BE7F1E">
        <w:rPr>
          <w:rFonts w:ascii="PermianSerifTypeface" w:hAnsi="PermianSerifTypeface"/>
          <w:lang w:val="ro-RO"/>
        </w:rPr>
        <w:t xml:space="preserve">în numerar, </w:t>
      </w:r>
      <w:r w:rsidR="00042F50" w:rsidRPr="00BE7F1E">
        <w:rPr>
          <w:rFonts w:ascii="PermianSerifTypeface" w:hAnsi="PermianSerifTypeface"/>
          <w:lang w:val="ro-RO"/>
        </w:rPr>
        <w:t xml:space="preserve">pusă de către consumator la dispoziția creditorului în temeiul contractului de garanție financiară, a cărei </w:t>
      </w:r>
      <w:r w:rsidR="00D711F7" w:rsidRPr="00BE7F1E">
        <w:rPr>
          <w:rFonts w:ascii="PermianSerifTypeface" w:hAnsi="PermianSerifTypeface"/>
          <w:lang w:val="ro-RO"/>
        </w:rPr>
        <w:t xml:space="preserve">scadență </w:t>
      </w:r>
      <w:r w:rsidR="00D711F7" w:rsidRPr="00BE7F1E">
        <w:rPr>
          <w:rFonts w:ascii="PermianSerifTypeface" w:hAnsi="PermianSerifTypeface"/>
          <w:lang w:val="ro-RO"/>
        </w:rPr>
        <w:lastRenderedPageBreak/>
        <w:t xml:space="preserve">depășește </w:t>
      </w:r>
      <w:r w:rsidR="007E541D" w:rsidRPr="00BE7F1E">
        <w:rPr>
          <w:rFonts w:ascii="PermianSerifTypeface" w:hAnsi="PermianSerifTypeface"/>
          <w:lang w:val="ro-RO"/>
        </w:rPr>
        <w:t xml:space="preserve">scadența </w:t>
      </w:r>
      <w:r w:rsidR="00D711F7" w:rsidRPr="00BE7F1E">
        <w:rPr>
          <w:rFonts w:ascii="PermianSerifTypeface" w:hAnsi="PermianSerifTypeface"/>
          <w:lang w:val="ro-RO"/>
        </w:rPr>
        <w:t xml:space="preserve">creditului </w:t>
      </w:r>
      <w:r w:rsidR="00B915AA" w:rsidRPr="00BE7F1E">
        <w:rPr>
          <w:rFonts w:ascii="PermianSerifTypeface" w:hAnsi="PermianSerifTypeface"/>
          <w:lang w:val="ro-RO"/>
        </w:rPr>
        <w:t>garant</w:t>
      </w:r>
      <w:r w:rsidR="00D711F7" w:rsidRPr="00BE7F1E">
        <w:rPr>
          <w:rFonts w:ascii="PermianSerifTypeface" w:hAnsi="PermianSerifTypeface"/>
          <w:lang w:val="ro-RO"/>
        </w:rPr>
        <w:t>at, limita RCG se va calcula</w:t>
      </w:r>
      <w:r w:rsidR="00042F50" w:rsidRPr="00C04F4A">
        <w:rPr>
          <w:lang w:val="pt-BR"/>
        </w:rPr>
        <w:t xml:space="preserve"> </w:t>
      </w:r>
      <w:r w:rsidR="00042F50" w:rsidRPr="00BE7F1E">
        <w:rPr>
          <w:rFonts w:ascii="PermianSerifTypeface" w:hAnsi="PermianSerifTypeface"/>
          <w:lang w:val="ro-RO"/>
        </w:rPr>
        <w:t>prin deducerea valorii garanției financiare din valoarea totală a creditului</w:t>
      </w:r>
      <w:r w:rsidR="00D711F7" w:rsidRPr="00BE7F1E">
        <w:rPr>
          <w:rFonts w:ascii="PermianSerifTypeface" w:hAnsi="PermianSerifTypeface"/>
          <w:lang w:val="ro-RO"/>
        </w:rPr>
        <w:t xml:space="preserve">, după cum urmează: </w:t>
      </w:r>
    </w:p>
    <w:p w14:paraId="439D4C1B" w14:textId="22A1E39C" w:rsidR="00D711F7" w:rsidRPr="00BE7F1E" w:rsidRDefault="00D711F7" w:rsidP="00497793">
      <w:pPr>
        <w:tabs>
          <w:tab w:val="left" w:pos="284"/>
        </w:tabs>
        <w:spacing w:before="240" w:after="240"/>
        <w:rPr>
          <w:rFonts w:ascii="PermianSerifTypeface" w:hAnsi="PermianSerifTypeface"/>
          <w:lang w:val="ro-RO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ro-RO"/>
            </w:rPr>
            <m:t xml:space="preserve">RCG= 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/>
                  <w:lang w:val="ro-RO"/>
                </w:rPr>
                <m:t>Valoarea totală a creditului-Valoarea depozitelor garanții</m:t>
              </m:r>
            </m:num>
            <m:den>
              <m:r>
                <w:rPr>
                  <w:rFonts w:ascii="Cambria Math" w:hAnsi="Cambria Math"/>
                  <w:lang w:val="ro-RO"/>
                </w:rPr>
                <m:t>Valoarea imobilelor gajate</m:t>
              </m:r>
            </m:den>
          </m:f>
          <m:r>
            <w:rPr>
              <w:rFonts w:ascii="Cambria Math" w:hAnsi="Cambria Math"/>
              <w:lang w:val="ro-RO"/>
            </w:rPr>
            <m:t>×100%</m:t>
          </m:r>
        </m:oMath>
      </m:oMathPara>
    </w:p>
    <w:p w14:paraId="3CDBCA69" w14:textId="758CC199" w:rsidR="00F21F95" w:rsidRPr="00BE7F1E" w:rsidRDefault="00D6526A" w:rsidP="00EA6274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PermianSerifTypeface" w:hAnsi="PermianSerifTypeface"/>
          <w:lang w:val="ro-RO"/>
        </w:rPr>
      </w:pPr>
      <w:bookmarkStart w:id="20" w:name="_Ref83654151"/>
      <w:bookmarkStart w:id="21" w:name="_Ref75505927"/>
      <w:r w:rsidRPr="00BE7F1E">
        <w:rPr>
          <w:rFonts w:ascii="PermianSerifTypeface" w:hAnsi="PermianSerifTypeface"/>
          <w:lang w:val="ro-RO"/>
        </w:rPr>
        <w:t xml:space="preserve"> </w:t>
      </w:r>
      <w:r w:rsidR="008267DE" w:rsidRPr="00BE7F1E">
        <w:rPr>
          <w:rFonts w:ascii="PermianSerifTypeface" w:hAnsi="PermianSerifTypeface"/>
          <w:lang w:val="ro-RO"/>
        </w:rPr>
        <w:t xml:space="preserve">RCG poate fi mai mare decât valoarea indicată </w:t>
      </w:r>
      <w:r w:rsidR="00D1227E" w:rsidRPr="00BE7F1E">
        <w:rPr>
          <w:rFonts w:ascii="PermianSerifTypeface" w:hAnsi="PermianSerifTypeface"/>
          <w:lang w:val="ro-RO"/>
        </w:rPr>
        <w:t>la pct</w:t>
      </w:r>
      <w:r w:rsidR="00E17E2A" w:rsidRPr="00BE7F1E">
        <w:rPr>
          <w:rFonts w:ascii="PermianSerifTypeface" w:hAnsi="PermianSerifTypeface"/>
          <w:lang w:val="ro-RO"/>
        </w:rPr>
        <w:t>.</w:t>
      </w:r>
      <w:r w:rsidR="00D1227E" w:rsidRPr="00BE7F1E">
        <w:rPr>
          <w:rFonts w:ascii="PermianSerifTypeface" w:hAnsi="PermianSerifTypeface"/>
          <w:lang w:val="ro-RO"/>
        </w:rPr>
        <w:t xml:space="preserve"> </w:t>
      </w:r>
      <w:r w:rsidR="00D1227E" w:rsidRPr="00BE7F1E">
        <w:rPr>
          <w:rFonts w:ascii="PermianSerifTypeface" w:hAnsi="PermianSerifTypeface"/>
          <w:lang w:val="ro-RO"/>
        </w:rPr>
        <w:fldChar w:fldCharType="begin"/>
      </w:r>
      <w:r w:rsidR="00D1227E" w:rsidRPr="00BE7F1E">
        <w:rPr>
          <w:rFonts w:ascii="PermianSerifTypeface" w:hAnsi="PermianSerifTypeface"/>
          <w:lang w:val="ro-RO"/>
        </w:rPr>
        <w:instrText xml:space="preserve"> REF _Ref75939935 \r \h </w:instrText>
      </w:r>
      <w:r w:rsidR="00CE31A5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D1227E" w:rsidRPr="00BE7F1E">
        <w:rPr>
          <w:rFonts w:ascii="PermianSerifTypeface" w:hAnsi="PermianSerifTypeface"/>
          <w:lang w:val="ro-RO"/>
        </w:rPr>
      </w:r>
      <w:r w:rsidR="00D1227E" w:rsidRPr="00BE7F1E">
        <w:rPr>
          <w:rFonts w:ascii="PermianSerifTypeface" w:hAnsi="PermianSerifTypeface"/>
          <w:lang w:val="ro-RO"/>
        </w:rPr>
        <w:fldChar w:fldCharType="separate"/>
      </w:r>
      <w:r w:rsidR="00916BEF" w:rsidRPr="00BE7F1E">
        <w:rPr>
          <w:rFonts w:ascii="PermianSerifTypeface" w:hAnsi="PermianSerifTypeface"/>
          <w:lang w:val="ro-RO"/>
        </w:rPr>
        <w:t>21</w:t>
      </w:r>
      <w:r w:rsidR="00D1227E" w:rsidRPr="00BE7F1E">
        <w:rPr>
          <w:rFonts w:ascii="PermianSerifTypeface" w:hAnsi="PermianSerifTypeface"/>
          <w:lang w:val="ro-RO"/>
        </w:rPr>
        <w:fldChar w:fldCharType="end"/>
      </w:r>
      <w:r w:rsidR="008267DE" w:rsidRPr="00BE7F1E">
        <w:rPr>
          <w:rFonts w:ascii="PermianSerifTypeface" w:hAnsi="PermianSerifTypeface"/>
          <w:lang w:val="ro-RO"/>
        </w:rPr>
        <w:t xml:space="preserve">, în cazul în care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="008267DE" w:rsidRPr="00BE7F1E">
        <w:rPr>
          <w:rFonts w:ascii="PermianSerifTypeface" w:hAnsi="PermianSerifTypeface"/>
          <w:lang w:val="ro-RO"/>
        </w:rPr>
        <w:t xml:space="preserve">ul </w:t>
      </w:r>
      <w:r w:rsidR="00042F50" w:rsidRPr="00BE7F1E">
        <w:rPr>
          <w:rFonts w:ascii="PermianSerifTypeface" w:hAnsi="PermianSerifTypeface"/>
          <w:lang w:val="ro-RO"/>
        </w:rPr>
        <w:t>urmează să</w:t>
      </w:r>
      <w:r w:rsidR="00200A18" w:rsidRPr="00BE7F1E">
        <w:rPr>
          <w:rFonts w:ascii="PermianSerifTypeface" w:hAnsi="PermianSerifTypeface"/>
          <w:lang w:val="ro-RO"/>
        </w:rPr>
        <w:t xml:space="preserve"> închei</w:t>
      </w:r>
      <w:r w:rsidR="00042F50" w:rsidRPr="00BE7F1E">
        <w:rPr>
          <w:rFonts w:ascii="PermianSerifTypeface" w:hAnsi="PermianSerifTypeface"/>
          <w:lang w:val="ro-RO"/>
        </w:rPr>
        <w:t>e</w:t>
      </w:r>
      <w:r w:rsidR="00200A18" w:rsidRPr="00BE7F1E">
        <w:rPr>
          <w:rFonts w:ascii="PermianSerifTypeface" w:hAnsi="PermianSerifTypeface"/>
          <w:lang w:val="ro-RO"/>
        </w:rPr>
        <w:t xml:space="preserve"> un contract de credit pentru </w:t>
      </w:r>
      <w:r w:rsidR="00042F50" w:rsidRPr="00BE7F1E">
        <w:rPr>
          <w:rFonts w:ascii="PermianSerifTypeface" w:hAnsi="PermianSerifTypeface"/>
          <w:lang w:val="ro-RO"/>
        </w:rPr>
        <w:t xml:space="preserve">finanțarea </w:t>
      </w:r>
      <w:r w:rsidR="00200A18" w:rsidRPr="00BE7F1E">
        <w:rPr>
          <w:rFonts w:ascii="PermianSerifTypeface" w:hAnsi="PermianSerifTypeface"/>
          <w:lang w:val="ro-RO"/>
        </w:rPr>
        <w:t>achiziți</w:t>
      </w:r>
      <w:r w:rsidR="00042F50" w:rsidRPr="00BE7F1E">
        <w:rPr>
          <w:rFonts w:ascii="PermianSerifTypeface" w:hAnsi="PermianSerifTypeface"/>
          <w:lang w:val="ro-RO"/>
        </w:rPr>
        <w:t>ei</w:t>
      </w:r>
      <w:r w:rsidR="00200A18" w:rsidRPr="00BE7F1E">
        <w:rPr>
          <w:rFonts w:ascii="PermianSerifTypeface" w:hAnsi="PermianSerifTypeface"/>
          <w:lang w:val="ro-RO"/>
        </w:rPr>
        <w:t xml:space="preserve"> sau </w:t>
      </w:r>
      <w:r w:rsidR="00042F50" w:rsidRPr="00BE7F1E">
        <w:rPr>
          <w:rFonts w:ascii="PermianSerifTypeface" w:hAnsi="PermianSerifTypeface"/>
          <w:lang w:val="ro-RO"/>
        </w:rPr>
        <w:t xml:space="preserve">dezvoltării unui bun imobil cu destinație locativă (ex. încăperi locative (apartament, cameră în cămin), case individuale de locuit </w:t>
      </w:r>
      <w:proofErr w:type="spellStart"/>
      <w:r w:rsidR="00042F50" w:rsidRPr="00BE7F1E">
        <w:rPr>
          <w:rFonts w:ascii="PermianSerifTypeface" w:hAnsi="PermianSerifTypeface"/>
          <w:lang w:val="ro-RO"/>
        </w:rPr>
        <w:t>şi</w:t>
      </w:r>
      <w:proofErr w:type="spellEnd"/>
      <w:r w:rsidR="00042F50" w:rsidRPr="00BE7F1E">
        <w:rPr>
          <w:rFonts w:ascii="PermianSerifTypeface" w:hAnsi="PermianSerifTypeface"/>
          <w:lang w:val="ro-RO"/>
        </w:rPr>
        <w:t xml:space="preserve"> alte </w:t>
      </w:r>
      <w:proofErr w:type="spellStart"/>
      <w:r w:rsidR="00042F50" w:rsidRPr="00BE7F1E">
        <w:rPr>
          <w:rFonts w:ascii="PermianSerifTypeface" w:hAnsi="PermianSerifTypeface"/>
          <w:lang w:val="ro-RO"/>
        </w:rPr>
        <w:t>locuinţe</w:t>
      </w:r>
      <w:proofErr w:type="spellEnd"/>
      <w:r w:rsidR="00042F50" w:rsidRPr="00BE7F1E">
        <w:rPr>
          <w:rFonts w:ascii="PermianSerifTypeface" w:hAnsi="PermianSerifTypeface"/>
          <w:lang w:val="ro-RO"/>
        </w:rPr>
        <w:t xml:space="preserve">) diferit decât cel gajat inițial pentru garantarea creditului/împrumutului </w:t>
      </w:r>
      <w:r w:rsidR="00E455D5" w:rsidRPr="00BE7F1E">
        <w:rPr>
          <w:rFonts w:ascii="PermianSerifTypeface" w:hAnsi="PermianSerifTypeface"/>
          <w:lang w:val="ro-RO"/>
        </w:rPr>
        <w:t>prin care se</w:t>
      </w:r>
      <w:r w:rsidR="00200A18" w:rsidRPr="00BE7F1E">
        <w:rPr>
          <w:rFonts w:ascii="PermianSerifTypeface" w:hAnsi="PermianSerifTypeface"/>
          <w:lang w:val="ro-RO"/>
        </w:rPr>
        <w:t xml:space="preserve"> angajează, în</w:t>
      </w:r>
      <w:r w:rsidR="006D2B46" w:rsidRPr="00BE7F1E">
        <w:rPr>
          <w:rFonts w:ascii="PermianSerifTypeface" w:hAnsi="PermianSerifTypeface"/>
          <w:lang w:val="ro-RO"/>
        </w:rPr>
        <w:t>tr-un</w:t>
      </w:r>
      <w:r w:rsidR="00200A18" w:rsidRPr="00BE7F1E">
        <w:rPr>
          <w:rFonts w:ascii="PermianSerifTypeface" w:hAnsi="PermianSerifTypeface"/>
          <w:lang w:val="ro-RO"/>
        </w:rPr>
        <w:t xml:space="preserve"> termen </w:t>
      </w:r>
      <w:r w:rsidR="006D2B46" w:rsidRPr="00BE7F1E">
        <w:rPr>
          <w:rFonts w:ascii="PermianSerifTypeface" w:hAnsi="PermianSerifTypeface"/>
          <w:lang w:val="ro-RO"/>
        </w:rPr>
        <w:t>rezonabil</w:t>
      </w:r>
      <w:r w:rsidR="00042F50" w:rsidRPr="00BE7F1E">
        <w:rPr>
          <w:rFonts w:ascii="PermianSerifTypeface" w:hAnsi="PermianSerifTypeface"/>
          <w:lang w:val="ro-RO"/>
        </w:rPr>
        <w:t xml:space="preserve"> </w:t>
      </w:r>
      <w:r w:rsidR="00200A18" w:rsidRPr="00BE7F1E">
        <w:rPr>
          <w:rFonts w:ascii="PermianSerifTypeface" w:hAnsi="PermianSerifTypeface"/>
          <w:lang w:val="ro-RO"/>
        </w:rPr>
        <w:t xml:space="preserve">stabilit în contractul de credit, să reducă obligațiile </w:t>
      </w:r>
      <w:r w:rsidR="00E455D5" w:rsidRPr="00BE7F1E">
        <w:rPr>
          <w:rFonts w:ascii="PermianSerifTypeface" w:hAnsi="PermianSerifTypeface"/>
          <w:lang w:val="ro-RO"/>
        </w:rPr>
        <w:t xml:space="preserve">asumate </w:t>
      </w:r>
      <w:r w:rsidR="00042F50" w:rsidRPr="00BE7F1E">
        <w:rPr>
          <w:rFonts w:ascii="PermianSerifTypeface" w:hAnsi="PermianSerifTypeface"/>
          <w:lang w:val="ro-RO"/>
        </w:rPr>
        <w:t xml:space="preserve">prin valoarea echivalentă a mărimii </w:t>
      </w:r>
      <w:r w:rsidR="00AB1F8C" w:rsidRPr="00BE7F1E">
        <w:rPr>
          <w:rFonts w:ascii="PermianSerifTypeface" w:hAnsi="PermianSerifTypeface"/>
          <w:lang w:val="ro-RO"/>
        </w:rPr>
        <w:t>mijloacel</w:t>
      </w:r>
      <w:r w:rsidR="00042F50" w:rsidRPr="00BE7F1E">
        <w:rPr>
          <w:rFonts w:ascii="PermianSerifTypeface" w:hAnsi="PermianSerifTypeface"/>
          <w:lang w:val="ro-RO"/>
        </w:rPr>
        <w:t>or</w:t>
      </w:r>
      <w:r w:rsidR="00AB1F8C" w:rsidRPr="00BE7F1E">
        <w:rPr>
          <w:rFonts w:ascii="PermianSerifTypeface" w:hAnsi="PermianSerifTypeface"/>
          <w:lang w:val="ro-RO"/>
        </w:rPr>
        <w:t xml:space="preserve"> bănești</w:t>
      </w:r>
      <w:r w:rsidR="00200A18" w:rsidRPr="00BE7F1E">
        <w:rPr>
          <w:rFonts w:ascii="PermianSerifTypeface" w:hAnsi="PermianSerifTypeface"/>
          <w:lang w:val="ro-RO"/>
        </w:rPr>
        <w:t xml:space="preserve"> </w:t>
      </w:r>
      <w:r w:rsidR="00042F50" w:rsidRPr="00BE7F1E">
        <w:rPr>
          <w:rFonts w:ascii="PermianSerifTypeface" w:hAnsi="PermianSerifTypeface"/>
          <w:lang w:val="ro-RO"/>
        </w:rPr>
        <w:t xml:space="preserve">obținute </w:t>
      </w:r>
      <w:r w:rsidR="00200A18" w:rsidRPr="00BE7F1E">
        <w:rPr>
          <w:rFonts w:ascii="PermianSerifTypeface" w:hAnsi="PermianSerifTypeface"/>
          <w:lang w:val="ro-RO"/>
        </w:rPr>
        <w:t xml:space="preserve">din vânzarea </w:t>
      </w:r>
      <w:r w:rsidR="00CD0E7D" w:rsidRPr="00BE7F1E">
        <w:rPr>
          <w:rFonts w:ascii="PermianSerifTypeface" w:hAnsi="PermianSerifTypeface"/>
          <w:lang w:val="ro-RO"/>
        </w:rPr>
        <w:t>locuinței</w:t>
      </w:r>
      <w:r w:rsidR="00042F50" w:rsidRPr="00BE7F1E">
        <w:rPr>
          <w:rFonts w:ascii="PermianSerifTypeface" w:hAnsi="PermianSerifTypeface"/>
          <w:lang w:val="ro-RO"/>
        </w:rPr>
        <w:t xml:space="preserve"> gajate inițial</w:t>
      </w:r>
      <w:r w:rsidR="00E455D5" w:rsidRPr="00BE7F1E">
        <w:rPr>
          <w:rFonts w:ascii="PermianSerifTypeface" w:hAnsi="PermianSerifTypeface"/>
          <w:lang w:val="ro-RO"/>
        </w:rPr>
        <w:t>, care este</w:t>
      </w:r>
      <w:r w:rsidR="00CD0E7D" w:rsidRPr="00BE7F1E">
        <w:rPr>
          <w:rFonts w:ascii="PermianSerifTypeface" w:hAnsi="PermianSerifTypeface"/>
          <w:lang w:val="ro-RO"/>
        </w:rPr>
        <w:t xml:space="preserve"> </w:t>
      </w:r>
      <w:r w:rsidR="00E455D5" w:rsidRPr="00BE7F1E">
        <w:rPr>
          <w:rFonts w:ascii="PermianSerifTypeface" w:hAnsi="PermianSerifTypeface"/>
          <w:lang w:val="ro-RO"/>
        </w:rPr>
        <w:t xml:space="preserve">confirmată documentar ca locuință </w:t>
      </w:r>
      <w:r w:rsidR="00CD0E7D" w:rsidRPr="00BE7F1E">
        <w:rPr>
          <w:rFonts w:ascii="PermianSerifTypeface" w:hAnsi="PermianSerifTypeface"/>
          <w:lang w:val="ro-RO"/>
        </w:rPr>
        <w:t>de bază</w:t>
      </w:r>
      <w:r w:rsidR="00200A18" w:rsidRPr="00BE7F1E">
        <w:rPr>
          <w:rFonts w:ascii="PermianSerifTypeface" w:hAnsi="PermianSerifTypeface"/>
          <w:lang w:val="ro-RO"/>
        </w:rPr>
        <w:t xml:space="preserve"> la momentul încheierii contractului de credit. Dispozițiile prezentului </w:t>
      </w:r>
      <w:r w:rsidR="001005F8" w:rsidRPr="00BE7F1E">
        <w:rPr>
          <w:rFonts w:ascii="PermianSerifTypeface" w:hAnsi="PermianSerifTypeface"/>
          <w:lang w:val="ro-RO"/>
        </w:rPr>
        <w:t xml:space="preserve">punct </w:t>
      </w:r>
      <w:r w:rsidR="00200A18" w:rsidRPr="00BE7F1E">
        <w:rPr>
          <w:rFonts w:ascii="PermianSerifTypeface" w:hAnsi="PermianSerifTypeface"/>
          <w:lang w:val="ro-RO"/>
        </w:rPr>
        <w:t xml:space="preserve">pot fi aplicate numai atunci când creditorul are dovezi rezonabile și suficiente conform cărora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="00200A18" w:rsidRPr="00BE7F1E">
        <w:rPr>
          <w:rFonts w:ascii="PermianSerifTypeface" w:hAnsi="PermianSerifTypeface"/>
          <w:lang w:val="ro-RO"/>
        </w:rPr>
        <w:t xml:space="preserve">ul, după ce </w:t>
      </w:r>
      <w:r w:rsidR="00A63965" w:rsidRPr="00BE7F1E">
        <w:rPr>
          <w:rFonts w:ascii="PermianSerifTypeface" w:hAnsi="PermianSerifTypeface"/>
          <w:lang w:val="ro-RO"/>
        </w:rPr>
        <w:t>v</w:t>
      </w:r>
      <w:r w:rsidR="00200A18" w:rsidRPr="00BE7F1E">
        <w:rPr>
          <w:rFonts w:ascii="PermianSerifTypeface" w:hAnsi="PermianSerifTypeface"/>
          <w:lang w:val="ro-RO"/>
        </w:rPr>
        <w:t>a v</w:t>
      </w:r>
      <w:r w:rsidR="00A63965" w:rsidRPr="00BE7F1E">
        <w:rPr>
          <w:rFonts w:ascii="PermianSerifTypeface" w:hAnsi="PermianSerifTypeface"/>
          <w:lang w:val="ro-RO"/>
        </w:rPr>
        <w:t>i</w:t>
      </w:r>
      <w:r w:rsidR="00200A18" w:rsidRPr="00BE7F1E">
        <w:rPr>
          <w:rFonts w:ascii="PermianSerifTypeface" w:hAnsi="PermianSerifTypeface"/>
          <w:lang w:val="ro-RO"/>
        </w:rPr>
        <w:t>nd</w:t>
      </w:r>
      <w:r w:rsidR="00A63965" w:rsidRPr="00BE7F1E">
        <w:rPr>
          <w:rFonts w:ascii="PermianSerifTypeface" w:hAnsi="PermianSerifTypeface"/>
          <w:lang w:val="ro-RO"/>
        </w:rPr>
        <w:t>e</w:t>
      </w:r>
      <w:r w:rsidR="00200A18" w:rsidRPr="00BE7F1E">
        <w:rPr>
          <w:rFonts w:ascii="PermianSerifTypeface" w:hAnsi="PermianSerifTypeface"/>
          <w:lang w:val="ro-RO"/>
        </w:rPr>
        <w:t xml:space="preserve"> </w:t>
      </w:r>
      <w:r w:rsidR="00AE1D70" w:rsidRPr="00BE7F1E">
        <w:rPr>
          <w:rFonts w:ascii="PermianSerifTypeface" w:hAnsi="PermianSerifTypeface"/>
          <w:lang w:val="ro-RO"/>
        </w:rPr>
        <w:t>locuința de bază</w:t>
      </w:r>
      <w:r w:rsidR="00200A18" w:rsidRPr="00BE7F1E">
        <w:rPr>
          <w:rFonts w:ascii="PermianSerifTypeface" w:hAnsi="PermianSerifTypeface"/>
          <w:lang w:val="ro-RO"/>
        </w:rPr>
        <w:t xml:space="preserve"> </w:t>
      </w:r>
      <w:r w:rsidR="00A63965" w:rsidRPr="00BE7F1E">
        <w:rPr>
          <w:rFonts w:ascii="PermianSerifTypeface" w:hAnsi="PermianSerifTypeface"/>
          <w:lang w:val="ro-RO"/>
        </w:rPr>
        <w:t>în</w:t>
      </w:r>
      <w:r w:rsidR="004F5BAC" w:rsidRPr="00BE7F1E">
        <w:rPr>
          <w:rFonts w:ascii="PermianSerifTypeface" w:hAnsi="PermianSerifTypeface"/>
          <w:lang w:val="ro-RO"/>
        </w:rPr>
        <w:t>tr-un</w:t>
      </w:r>
      <w:r w:rsidR="00A63965" w:rsidRPr="00BE7F1E">
        <w:rPr>
          <w:rFonts w:ascii="PermianSerifTypeface" w:hAnsi="PermianSerifTypeface"/>
          <w:lang w:val="ro-RO"/>
        </w:rPr>
        <w:t xml:space="preserve"> termen </w:t>
      </w:r>
      <w:r w:rsidR="006D2B46" w:rsidRPr="00BE7F1E">
        <w:rPr>
          <w:rFonts w:ascii="PermianSerifTypeface" w:hAnsi="PermianSerifTypeface"/>
          <w:lang w:val="ro-RO"/>
        </w:rPr>
        <w:t xml:space="preserve">rezonabil </w:t>
      </w:r>
      <w:r w:rsidR="00200A18" w:rsidRPr="00BE7F1E">
        <w:rPr>
          <w:rFonts w:ascii="PermianSerifTypeface" w:hAnsi="PermianSerifTypeface"/>
          <w:lang w:val="ro-RO"/>
        </w:rPr>
        <w:t xml:space="preserve">stabilit în contractul de credit, va avea </w:t>
      </w:r>
      <w:r w:rsidR="00A63965" w:rsidRPr="00BE7F1E">
        <w:rPr>
          <w:rFonts w:ascii="PermianSerifTypeface" w:hAnsi="PermianSerifTypeface"/>
          <w:lang w:val="ro-RO"/>
        </w:rPr>
        <w:t xml:space="preserve">mijloace bănești </w:t>
      </w:r>
      <w:r w:rsidR="00200A18" w:rsidRPr="00BE7F1E">
        <w:rPr>
          <w:rFonts w:ascii="PermianSerifTypeface" w:hAnsi="PermianSerifTypeface"/>
          <w:lang w:val="ro-RO"/>
        </w:rPr>
        <w:t xml:space="preserve">suficiente pentru a reduce obligațiile </w:t>
      </w:r>
      <w:r w:rsidR="00A63965" w:rsidRPr="00BE7F1E">
        <w:rPr>
          <w:rFonts w:ascii="PermianSerifTypeface" w:hAnsi="PermianSerifTypeface"/>
          <w:lang w:val="ro-RO"/>
        </w:rPr>
        <w:t xml:space="preserve">asumate </w:t>
      </w:r>
      <w:r w:rsidR="00200A18" w:rsidRPr="00BE7F1E">
        <w:rPr>
          <w:rFonts w:ascii="PermianSerifTypeface" w:hAnsi="PermianSerifTypeface"/>
          <w:lang w:val="ro-RO"/>
        </w:rPr>
        <w:t>în temeiul contractului de credit într-o asemenea măsură</w:t>
      </w:r>
      <w:r w:rsidR="00A63965" w:rsidRPr="00BE7F1E">
        <w:rPr>
          <w:rFonts w:ascii="PermianSerifTypeface" w:hAnsi="PermianSerifTypeface"/>
          <w:lang w:val="ro-RO"/>
        </w:rPr>
        <w:t>,</w:t>
      </w:r>
      <w:r w:rsidR="00200A18" w:rsidRPr="00BE7F1E">
        <w:rPr>
          <w:rFonts w:ascii="PermianSerifTypeface" w:hAnsi="PermianSerifTypeface"/>
          <w:lang w:val="ro-RO"/>
        </w:rPr>
        <w:t xml:space="preserve"> încât RCG să nu depășească valoarea indicată </w:t>
      </w:r>
      <w:r w:rsidR="00B307B6" w:rsidRPr="00BE7F1E">
        <w:rPr>
          <w:rFonts w:ascii="PermianSerifTypeface" w:hAnsi="PermianSerifTypeface"/>
          <w:lang w:val="ro-RO"/>
        </w:rPr>
        <w:t>la pct</w:t>
      </w:r>
      <w:r w:rsidR="00E17E2A" w:rsidRPr="00BE7F1E">
        <w:rPr>
          <w:rFonts w:ascii="PermianSerifTypeface" w:hAnsi="PermianSerifTypeface"/>
          <w:lang w:val="ro-RO"/>
        </w:rPr>
        <w:t>.</w:t>
      </w:r>
      <w:r w:rsidR="00B307B6" w:rsidRPr="00BE7F1E">
        <w:rPr>
          <w:rFonts w:ascii="PermianSerifTypeface" w:hAnsi="PermianSerifTypeface"/>
          <w:lang w:val="ro-RO"/>
        </w:rPr>
        <w:t xml:space="preserve"> </w:t>
      </w:r>
      <w:r w:rsidR="00B307B6" w:rsidRPr="00BE7F1E">
        <w:rPr>
          <w:rFonts w:ascii="PermianSerifTypeface" w:hAnsi="PermianSerifTypeface"/>
          <w:lang w:val="ro-RO"/>
        </w:rPr>
        <w:fldChar w:fldCharType="begin"/>
      </w:r>
      <w:r w:rsidR="00B307B6" w:rsidRPr="00BE7F1E">
        <w:rPr>
          <w:rFonts w:ascii="PermianSerifTypeface" w:hAnsi="PermianSerifTypeface"/>
          <w:lang w:val="ro-RO"/>
        </w:rPr>
        <w:instrText xml:space="preserve"> REF _Ref75939935 \r \h </w:instrText>
      </w:r>
      <w:r w:rsidR="00CE31A5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B307B6" w:rsidRPr="00BE7F1E">
        <w:rPr>
          <w:rFonts w:ascii="PermianSerifTypeface" w:hAnsi="PermianSerifTypeface"/>
          <w:lang w:val="ro-RO"/>
        </w:rPr>
      </w:r>
      <w:r w:rsidR="00B307B6" w:rsidRPr="00BE7F1E">
        <w:rPr>
          <w:rFonts w:ascii="PermianSerifTypeface" w:hAnsi="PermianSerifTypeface"/>
          <w:lang w:val="ro-RO"/>
        </w:rPr>
        <w:fldChar w:fldCharType="separate"/>
      </w:r>
      <w:r w:rsidR="00A63965" w:rsidRPr="00BE7F1E">
        <w:rPr>
          <w:rFonts w:ascii="PermianSerifTypeface" w:hAnsi="PermianSerifTypeface"/>
          <w:lang w:val="ro-RO"/>
        </w:rPr>
        <w:t>21</w:t>
      </w:r>
      <w:r w:rsidR="00B307B6" w:rsidRPr="00BE7F1E">
        <w:rPr>
          <w:rFonts w:ascii="PermianSerifTypeface" w:hAnsi="PermianSerifTypeface"/>
          <w:lang w:val="ro-RO"/>
        </w:rPr>
        <w:fldChar w:fldCharType="end"/>
      </w:r>
      <w:r w:rsidR="00200A18" w:rsidRPr="00BE7F1E">
        <w:rPr>
          <w:rFonts w:ascii="PermianSerifTypeface" w:hAnsi="PermianSerifTypeface"/>
          <w:lang w:val="ro-RO"/>
        </w:rPr>
        <w:t>.</w:t>
      </w:r>
      <w:bookmarkEnd w:id="20"/>
    </w:p>
    <w:p w14:paraId="6893E683" w14:textId="33EBF26F" w:rsidR="00E455E5" w:rsidRPr="00BE7F1E" w:rsidRDefault="00F21F95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 </w:t>
      </w:r>
      <w:r w:rsidR="002B483D" w:rsidRPr="00BE7F1E">
        <w:rPr>
          <w:rFonts w:ascii="PermianSerifTypeface" w:hAnsi="PermianSerifTypeface"/>
          <w:lang w:val="ro-RO"/>
        </w:rPr>
        <w:t>În sensul</w:t>
      </w:r>
      <w:r w:rsidR="007572B1" w:rsidRPr="00BE7F1E">
        <w:rPr>
          <w:rFonts w:ascii="PermianSerifTypeface" w:hAnsi="PermianSerifTypeface"/>
          <w:lang w:val="ro-RO"/>
        </w:rPr>
        <w:t xml:space="preserve"> pct</w:t>
      </w:r>
      <w:r w:rsidR="00E17E2A" w:rsidRPr="00BE7F1E">
        <w:rPr>
          <w:rFonts w:ascii="PermianSerifTypeface" w:hAnsi="PermianSerifTypeface"/>
          <w:lang w:val="ro-RO"/>
        </w:rPr>
        <w:t>.</w:t>
      </w:r>
      <w:r w:rsidRPr="00BE7F1E">
        <w:rPr>
          <w:rFonts w:ascii="PermianSerifTypeface" w:hAnsi="PermianSerifTypeface"/>
          <w:lang w:val="ro-RO"/>
        </w:rPr>
        <w:fldChar w:fldCharType="begin"/>
      </w:r>
      <w:r w:rsidRPr="00BE7F1E">
        <w:rPr>
          <w:rFonts w:ascii="PermianSerifTypeface" w:hAnsi="PermianSerifTypeface"/>
          <w:lang w:val="ro-RO"/>
        </w:rPr>
        <w:instrText xml:space="preserve"> REF _Ref83654151 \r \h </w:instrText>
      </w:r>
      <w:r w:rsidR="00B140F8" w:rsidRPr="00BE7F1E">
        <w:rPr>
          <w:rFonts w:ascii="PermianSerifTypeface" w:hAnsi="PermianSerifTypeface"/>
          <w:lang w:val="ro-RO"/>
        </w:rPr>
        <w:instrText xml:space="preserve"> \* MERGEFORMAT </w:instrText>
      </w:r>
      <w:r w:rsidRPr="00BE7F1E">
        <w:rPr>
          <w:rFonts w:ascii="PermianSerifTypeface" w:hAnsi="PermianSerifTypeface"/>
          <w:lang w:val="ro-RO"/>
        </w:rPr>
      </w:r>
      <w:r w:rsidRPr="00BE7F1E">
        <w:rPr>
          <w:rFonts w:ascii="PermianSerifTypeface" w:hAnsi="PermianSerifTypeface"/>
          <w:lang w:val="ro-RO"/>
        </w:rPr>
        <w:fldChar w:fldCharType="separate"/>
      </w:r>
      <w:r w:rsidR="00E7271C" w:rsidRPr="00BE7F1E">
        <w:rPr>
          <w:rFonts w:ascii="PermianSerifTypeface" w:hAnsi="PermianSerifTypeface"/>
          <w:lang w:val="ro-RO"/>
        </w:rPr>
        <w:t>29</w:t>
      </w:r>
      <w:r w:rsidRPr="00BE7F1E">
        <w:rPr>
          <w:rFonts w:ascii="PermianSerifTypeface" w:hAnsi="PermianSerifTypeface"/>
          <w:lang w:val="ro-RO"/>
        </w:rPr>
        <w:fldChar w:fldCharType="end"/>
      </w:r>
      <w:r w:rsidR="007572B1" w:rsidRPr="00BE7F1E">
        <w:rPr>
          <w:rFonts w:ascii="PermianSerifTypeface" w:hAnsi="PermianSerifTypeface"/>
          <w:lang w:val="ro-RO"/>
        </w:rPr>
        <w:t xml:space="preserve"> </w:t>
      </w:r>
      <w:r w:rsidR="002B483D" w:rsidRPr="00BE7F1E">
        <w:rPr>
          <w:rFonts w:ascii="PermianSerifTypeface" w:hAnsi="PermianSerifTypeface"/>
          <w:lang w:val="ro-RO"/>
        </w:rPr>
        <w:t>u</w:t>
      </w:r>
      <w:r w:rsidR="008267DE" w:rsidRPr="00BE7F1E">
        <w:rPr>
          <w:rFonts w:ascii="PermianSerifTypeface" w:hAnsi="PermianSerifTypeface"/>
          <w:lang w:val="ro-RO"/>
        </w:rPr>
        <w:t xml:space="preserve">n termen rezonabil </w:t>
      </w:r>
      <w:r w:rsidR="005A3985" w:rsidRPr="00BE7F1E">
        <w:rPr>
          <w:rFonts w:ascii="PermianSerifTypeface" w:hAnsi="PermianSerifTypeface"/>
          <w:lang w:val="ro-RO"/>
        </w:rPr>
        <w:t>reprezintă</w:t>
      </w:r>
      <w:r w:rsidR="008267DE" w:rsidRPr="00BE7F1E">
        <w:rPr>
          <w:rFonts w:ascii="PermianSerifTypeface" w:hAnsi="PermianSerifTypeface"/>
          <w:lang w:val="ro-RO"/>
        </w:rPr>
        <w:t xml:space="preserve"> un termen de</w:t>
      </w:r>
      <w:r w:rsidR="00E455E5" w:rsidRPr="00BE7F1E">
        <w:rPr>
          <w:rFonts w:ascii="PermianSerifTypeface" w:hAnsi="PermianSerifTypeface"/>
          <w:lang w:val="ro-RO"/>
        </w:rPr>
        <w:t>:</w:t>
      </w:r>
    </w:p>
    <w:p w14:paraId="100E0F5F" w14:textId="4E39E5AE" w:rsidR="00E455E5" w:rsidRPr="00BE7F1E" w:rsidRDefault="008267DE" w:rsidP="00497793">
      <w:pPr>
        <w:pStyle w:val="ListParagraph"/>
        <w:numPr>
          <w:ilvl w:val="1"/>
          <w:numId w:val="16"/>
        </w:numPr>
        <w:ind w:left="426" w:hanging="284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cel mult 12 luni de la data încheierii contractului de credit</w:t>
      </w:r>
      <w:r w:rsidR="00237655" w:rsidRPr="00BE7F1E">
        <w:rPr>
          <w:rFonts w:ascii="PermianSerifTypeface" w:hAnsi="PermianSerifTypeface"/>
          <w:lang w:val="ro-RO"/>
        </w:rPr>
        <w:t xml:space="preserve"> în cazul unui contract de credit pentru construirea bunului imobil</w:t>
      </w:r>
      <w:r w:rsidR="00E455E5" w:rsidRPr="00BE7F1E">
        <w:rPr>
          <w:rFonts w:ascii="PermianSerifTypeface" w:hAnsi="PermianSerifTypeface"/>
          <w:lang w:val="ro-RO"/>
        </w:rPr>
        <w:t>, și</w:t>
      </w:r>
    </w:p>
    <w:p w14:paraId="650D9E4C" w14:textId="477021A8" w:rsidR="008267DE" w:rsidRPr="00BE7F1E" w:rsidRDefault="00237655" w:rsidP="00497793">
      <w:pPr>
        <w:pStyle w:val="ListParagraph"/>
        <w:numPr>
          <w:ilvl w:val="1"/>
          <w:numId w:val="16"/>
        </w:numPr>
        <w:ind w:left="426" w:hanging="284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cel mult 3 luni de la data încheierii contractului de credit în cazul unui contract de credit pentru achiziția bunului imobil</w:t>
      </w:r>
      <w:r w:rsidR="008267DE" w:rsidRPr="00BE7F1E">
        <w:rPr>
          <w:rFonts w:ascii="PermianSerifTypeface" w:hAnsi="PermianSerifTypeface"/>
          <w:lang w:val="ro-RO"/>
        </w:rPr>
        <w:t>.</w:t>
      </w:r>
      <w:bookmarkEnd w:id="21"/>
    </w:p>
    <w:p w14:paraId="742FEC4F" w14:textId="41A5BDEF" w:rsidR="002B483D" w:rsidRPr="00BE7F1E" w:rsidRDefault="002B483D" w:rsidP="00497793">
      <w:pPr>
        <w:numPr>
          <w:ilvl w:val="0"/>
          <w:numId w:val="4"/>
        </w:numPr>
        <w:tabs>
          <w:tab w:val="left" w:pos="284"/>
        </w:tabs>
        <w:spacing w:after="240"/>
        <w:ind w:left="0" w:firstLine="0"/>
        <w:rPr>
          <w:rFonts w:ascii="PermianSerifTypeface" w:hAnsi="PermianSerifTypeface"/>
          <w:lang w:val="ro-RO"/>
        </w:rPr>
      </w:pPr>
      <w:bookmarkStart w:id="22" w:name="_Ref88664572"/>
      <w:r w:rsidRPr="00BE7F1E">
        <w:rPr>
          <w:rFonts w:ascii="PermianSerifTypeface" w:hAnsi="PermianSerifTypeface"/>
          <w:lang w:val="ro-RO"/>
        </w:rPr>
        <w:t>Ponderea sumei creditelor acordate conform cerințelor pct</w:t>
      </w:r>
      <w:r w:rsidR="00E17E2A" w:rsidRPr="00BE7F1E">
        <w:rPr>
          <w:rFonts w:ascii="PermianSerifTypeface" w:hAnsi="PermianSerifTypeface"/>
          <w:lang w:val="ro-RO"/>
        </w:rPr>
        <w:t>.</w:t>
      </w:r>
      <w:r w:rsidRPr="00BE7F1E">
        <w:rPr>
          <w:rFonts w:ascii="PermianSerifTypeface" w:hAnsi="PermianSerifTypeface"/>
          <w:lang w:val="ro-RO"/>
        </w:rPr>
        <w:fldChar w:fldCharType="begin"/>
      </w:r>
      <w:r w:rsidRPr="00BE7F1E">
        <w:rPr>
          <w:rFonts w:ascii="PermianSerifTypeface" w:hAnsi="PermianSerifTypeface"/>
          <w:lang w:val="ro-RO"/>
        </w:rPr>
        <w:instrText xml:space="preserve"> REF _Ref83654151 \r \h  \* MERGEFORMAT </w:instrText>
      </w:r>
      <w:r w:rsidRPr="00BE7F1E">
        <w:rPr>
          <w:rFonts w:ascii="PermianSerifTypeface" w:hAnsi="PermianSerifTypeface"/>
          <w:lang w:val="ro-RO"/>
        </w:rPr>
      </w:r>
      <w:r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29</w:t>
      </w:r>
      <w:r w:rsidRPr="00BE7F1E">
        <w:rPr>
          <w:rFonts w:ascii="PermianSerifTypeface" w:hAnsi="PermianSerifTypeface"/>
          <w:lang w:val="ro-RO"/>
        </w:rPr>
        <w:fldChar w:fldCharType="end"/>
      </w:r>
      <w:r w:rsidRPr="00BE7F1E">
        <w:rPr>
          <w:rFonts w:ascii="PermianSerifTypeface" w:hAnsi="PermianSerifTypeface"/>
          <w:lang w:val="ro-RO"/>
        </w:rPr>
        <w:t xml:space="preserve"> în cuantumul total al creditelor noi </w:t>
      </w:r>
      <w:r w:rsidR="00DA5116" w:rsidRPr="00BE7F1E">
        <w:rPr>
          <w:rFonts w:ascii="PermianSerifTypeface" w:hAnsi="PermianSerifTypeface"/>
          <w:lang w:val="ro-MD"/>
        </w:rPr>
        <w:t xml:space="preserve">pentru procurarea sau construcția imobilului </w:t>
      </w:r>
      <w:r w:rsidRPr="00BE7F1E">
        <w:rPr>
          <w:rFonts w:ascii="PermianSerifTypeface" w:hAnsi="PermianSerifTypeface"/>
          <w:lang w:val="ro-RO"/>
        </w:rPr>
        <w:t xml:space="preserve">acordate persoanelor fizice de creditor, pe parcursul ultimelor 3 luni anterior acordării, nu trebuie să fie mai mare decât </w:t>
      </w:r>
      <w:r w:rsidR="00D1227E" w:rsidRPr="00BE7F1E">
        <w:rPr>
          <w:rFonts w:ascii="PermianSerifTypeface" w:hAnsi="PermianSerifTypeface"/>
          <w:b/>
          <w:bCs/>
          <w:lang w:val="ro-RO"/>
        </w:rPr>
        <w:t>1</w:t>
      </w:r>
      <w:r w:rsidR="00646FE6" w:rsidRPr="00BE7F1E">
        <w:rPr>
          <w:rFonts w:ascii="PermianSerifTypeface" w:hAnsi="PermianSerifTypeface"/>
          <w:b/>
          <w:bCs/>
          <w:lang w:val="ro-RO"/>
        </w:rPr>
        <w:t>5</w:t>
      </w:r>
      <w:r w:rsidR="00D1227E" w:rsidRPr="00BE7F1E">
        <w:rPr>
          <w:rFonts w:ascii="PermianSerifTypeface" w:hAnsi="PermianSerifTypeface"/>
          <w:b/>
          <w:bCs/>
          <w:lang w:val="ro-RO"/>
        </w:rPr>
        <w:t>%</w:t>
      </w:r>
      <w:r w:rsidRPr="00BE7F1E">
        <w:rPr>
          <w:rFonts w:ascii="PermianSerifTypeface" w:hAnsi="PermianSerifTypeface"/>
          <w:lang w:val="ro-RO"/>
        </w:rPr>
        <w:t>.</w:t>
      </w:r>
      <w:bookmarkEnd w:id="22"/>
    </w:p>
    <w:p w14:paraId="7BA9339B" w14:textId="3BDD5E0E" w:rsidR="004A4047" w:rsidRPr="00BE7F1E" w:rsidRDefault="004A4047" w:rsidP="00497793">
      <w:pPr>
        <w:spacing w:after="240"/>
        <w:rPr>
          <w:rFonts w:ascii="PermianSerifTypeface" w:eastAsia="Arial Unicode MS" w:hAnsi="PermianSerifTypeface"/>
          <w:b/>
          <w:bCs/>
          <w:i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Secțiunea </w:t>
      </w:r>
      <w:r w:rsidR="003E75F2" w:rsidRPr="00BE7F1E">
        <w:rPr>
          <w:rFonts w:ascii="PermianSerifTypeface" w:eastAsia="Arial Unicode MS" w:hAnsi="PermianSerifTypeface"/>
          <w:b/>
          <w:bCs/>
          <w:i/>
          <w:lang w:val="ro-RO"/>
        </w:rPr>
        <w:t>4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. </w:t>
      </w:r>
      <w:r w:rsidR="00A94F1C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Raportul </w:t>
      </w:r>
      <w:r w:rsidR="00AE02FD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dintre </w:t>
      </w:r>
      <w:r w:rsidR="00A94F1C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serviciul datoriei </w:t>
      </w:r>
      <w:r w:rsidR="00AE02FD" w:rsidRPr="00BE7F1E">
        <w:rPr>
          <w:rFonts w:ascii="PermianSerifTypeface" w:eastAsia="Arial Unicode MS" w:hAnsi="PermianSerifTypeface"/>
          <w:b/>
          <w:bCs/>
          <w:i/>
          <w:lang w:val="ro-RO"/>
        </w:rPr>
        <w:t>și</w:t>
      </w:r>
      <w:r w:rsidR="00A94F1C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 venituri</w:t>
      </w:r>
    </w:p>
    <w:p w14:paraId="55211FED" w14:textId="4A490A1D" w:rsidR="00A94F1C" w:rsidRPr="00BE7F1E" w:rsidRDefault="00A94F1C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bookmarkStart w:id="23" w:name="_Ref75939949"/>
      <w:r w:rsidRPr="00BE7F1E">
        <w:rPr>
          <w:rFonts w:ascii="PermianSerifTypeface" w:hAnsi="PermianSerifTypeface"/>
          <w:lang w:val="ro-RO"/>
        </w:rPr>
        <w:t xml:space="preserve">RSDV se aplică tuturor creditelor acordate </w:t>
      </w:r>
      <w:r w:rsidR="0096668E" w:rsidRPr="00BE7F1E">
        <w:rPr>
          <w:rFonts w:ascii="PermianSerifTypeface" w:hAnsi="PermianSerifTypeface"/>
          <w:lang w:val="ro-RO"/>
        </w:rPr>
        <w:t>consumatorilor</w:t>
      </w:r>
      <w:r w:rsidR="00ED0B60" w:rsidRPr="00BE7F1E">
        <w:rPr>
          <w:rFonts w:ascii="PermianSerifTypeface" w:hAnsi="PermianSerifTypeface"/>
          <w:lang w:val="ro-RO"/>
        </w:rPr>
        <w:t xml:space="preserve"> care intră în domeniul de reglementare al prezentului </w:t>
      </w:r>
      <w:r w:rsidR="00ED0B60" w:rsidRPr="00611677">
        <w:rPr>
          <w:rFonts w:ascii="PermianSerifTypeface" w:hAnsi="PermianSerifTypeface"/>
          <w:lang w:val="ro-RO"/>
        </w:rPr>
        <w:t>R</w:t>
      </w:r>
      <w:r w:rsidR="00ED0B60" w:rsidRPr="00BE7F1E">
        <w:rPr>
          <w:rFonts w:ascii="PermianSerifTypeface" w:hAnsi="PermianSerifTypeface"/>
          <w:lang w:val="ro-RO"/>
        </w:rPr>
        <w:t>egulament</w:t>
      </w:r>
      <w:r w:rsidR="000619BC">
        <w:rPr>
          <w:rFonts w:ascii="PermianSerifTypeface" w:hAnsi="PermianSerifTypeface"/>
          <w:lang w:val="ro-RO"/>
        </w:rPr>
        <w:t>,</w:t>
      </w:r>
      <w:r w:rsidR="00ED0B60" w:rsidRPr="00BE7F1E">
        <w:rPr>
          <w:rFonts w:ascii="PermianSerifTypeface" w:hAnsi="PermianSerifTypeface"/>
          <w:lang w:val="ro-RO"/>
        </w:rPr>
        <w:t xml:space="preserve"> cu excepția </w:t>
      </w:r>
      <w:r w:rsidR="00A3481D" w:rsidRPr="00BE7F1E">
        <w:rPr>
          <w:rFonts w:ascii="PermianSerifTypeface" w:hAnsi="PermianSerifTypeface"/>
          <w:lang w:val="ro-RO"/>
        </w:rPr>
        <w:t>cazului</w:t>
      </w:r>
      <w:r w:rsidR="00ED0B60" w:rsidRPr="00BE7F1E">
        <w:rPr>
          <w:rFonts w:ascii="PermianSerifTypeface" w:hAnsi="PermianSerifTypeface"/>
          <w:lang w:val="ro-RO"/>
        </w:rPr>
        <w:t xml:space="preserve"> specificat la pct</w:t>
      </w:r>
      <w:r w:rsidR="00E17E2A" w:rsidRPr="00BE7F1E">
        <w:rPr>
          <w:rFonts w:ascii="PermianSerifTypeface" w:hAnsi="PermianSerifTypeface"/>
          <w:lang w:val="ro-RO"/>
        </w:rPr>
        <w:t>.</w:t>
      </w:r>
      <w:r w:rsidR="00ED0B60" w:rsidRPr="00BE7F1E">
        <w:rPr>
          <w:rFonts w:ascii="PermianSerifTypeface" w:hAnsi="PermianSerifTypeface"/>
          <w:lang w:val="ro-RO"/>
        </w:rPr>
        <w:fldChar w:fldCharType="begin"/>
      </w:r>
      <w:r w:rsidR="00ED0B60" w:rsidRPr="00BE7F1E">
        <w:rPr>
          <w:rFonts w:ascii="PermianSerifTypeface" w:hAnsi="PermianSerifTypeface"/>
          <w:lang w:val="ro-RO"/>
        </w:rPr>
        <w:instrText xml:space="preserve"> REF _Ref100308009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ED0B60" w:rsidRPr="00BE7F1E">
        <w:rPr>
          <w:rFonts w:ascii="PermianSerifTypeface" w:hAnsi="PermianSerifTypeface"/>
          <w:lang w:val="ro-RO"/>
        </w:rPr>
      </w:r>
      <w:r w:rsidR="00ED0B60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40</w:t>
      </w:r>
      <w:r w:rsidR="00ED0B60" w:rsidRPr="00BE7F1E">
        <w:rPr>
          <w:rFonts w:ascii="PermianSerifTypeface" w:hAnsi="PermianSerifTypeface"/>
          <w:lang w:val="ro-RO"/>
        </w:rPr>
        <w:fldChar w:fldCharType="end"/>
      </w:r>
      <w:r w:rsidRPr="00BE7F1E">
        <w:rPr>
          <w:rFonts w:ascii="PermianSerifTypeface" w:hAnsi="PermianSerifTypeface"/>
          <w:lang w:val="ro-RO"/>
        </w:rPr>
        <w:t>.</w:t>
      </w:r>
      <w:bookmarkEnd w:id="23"/>
    </w:p>
    <w:p w14:paraId="0A63E308" w14:textId="2C817A78" w:rsidR="00A94F1C" w:rsidRPr="00BE7F1E" w:rsidRDefault="007A7EDA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MD"/>
        </w:rPr>
        <w:t xml:space="preserve">Înainte de </w:t>
      </w:r>
      <w:r w:rsidR="003C18FE" w:rsidRPr="00BE7F1E">
        <w:rPr>
          <w:rFonts w:ascii="PermianSerifTypeface" w:hAnsi="PermianSerifTypeface"/>
          <w:lang w:val="ro-MD"/>
        </w:rPr>
        <w:t>a calcula RSDV pentru creditul</w:t>
      </w:r>
      <w:r w:rsidR="00A94F1C" w:rsidRPr="00BE7F1E">
        <w:rPr>
          <w:rFonts w:ascii="PermianSerifTypeface" w:hAnsi="PermianSerifTypeface"/>
          <w:lang w:val="ro-RO"/>
        </w:rPr>
        <w:t xml:space="preserve"> </w:t>
      </w:r>
      <w:r w:rsidR="00523FAD" w:rsidRPr="00BE7F1E">
        <w:rPr>
          <w:rFonts w:ascii="PermianSerifTypeface" w:hAnsi="PermianSerifTypeface"/>
          <w:lang w:val="ro-RO"/>
        </w:rPr>
        <w:t>solicitat de</w:t>
      </w:r>
      <w:r w:rsidR="006026E7" w:rsidRPr="00BE7F1E">
        <w:rPr>
          <w:rFonts w:ascii="PermianSerifTypeface" w:hAnsi="PermianSerifTypeface"/>
          <w:lang w:val="ro-RO"/>
        </w:rPr>
        <w:t xml:space="preserve"> </w:t>
      </w:r>
      <w:r w:rsidRPr="00BE7F1E">
        <w:rPr>
          <w:rFonts w:ascii="PermianSerifTypeface" w:hAnsi="PermianSerifTypeface"/>
          <w:lang w:val="ro-RO"/>
        </w:rPr>
        <w:t>către</w:t>
      </w:r>
      <w:r w:rsidR="006026E7" w:rsidRPr="00BE7F1E">
        <w:rPr>
          <w:rFonts w:ascii="PermianSerifTypeface" w:hAnsi="PermianSerifTypeface"/>
          <w:lang w:val="ro-RO"/>
        </w:rPr>
        <w:t xml:space="preserve"> </w:t>
      </w:r>
      <w:r w:rsidR="0096668E" w:rsidRPr="00BE7F1E">
        <w:rPr>
          <w:rFonts w:ascii="PermianSerifTypeface" w:hAnsi="PermianSerifTypeface"/>
          <w:lang w:val="ro-RO"/>
        </w:rPr>
        <w:t>consumator</w:t>
      </w:r>
      <w:r w:rsidR="00A94F1C" w:rsidRPr="00BE7F1E">
        <w:rPr>
          <w:rFonts w:ascii="PermianSerifTypeface" w:hAnsi="PermianSerifTypeface"/>
          <w:lang w:val="ro-RO"/>
        </w:rPr>
        <w:t xml:space="preserve">, </w:t>
      </w:r>
      <w:r w:rsidRPr="00BE7F1E">
        <w:rPr>
          <w:rFonts w:ascii="PermianSerifTypeface" w:hAnsi="PermianSerifTypeface"/>
          <w:lang w:val="ro-RO"/>
        </w:rPr>
        <w:t xml:space="preserve">creditorul </w:t>
      </w:r>
      <w:r w:rsidR="00A94F1C" w:rsidRPr="00BE7F1E">
        <w:rPr>
          <w:rFonts w:ascii="PermianSerifTypeface" w:hAnsi="PermianSerifTypeface"/>
          <w:lang w:val="ro-RO"/>
        </w:rPr>
        <w:t xml:space="preserve">va verifica informația privind veniturile </w:t>
      </w:r>
      <w:r w:rsidR="00ED28C9" w:rsidRPr="00BE7F1E">
        <w:rPr>
          <w:rFonts w:ascii="PermianSerifTypeface" w:hAnsi="PermianSerifTypeface"/>
          <w:lang w:val="ro-RO"/>
        </w:rPr>
        <w:t>confirmate</w:t>
      </w:r>
      <w:r w:rsidR="003A1A57" w:rsidRPr="00BE7F1E">
        <w:rPr>
          <w:rFonts w:ascii="PermianSerifTypeface" w:hAnsi="PermianSerifTypeface"/>
          <w:lang w:val="ro-RO"/>
        </w:rPr>
        <w:t xml:space="preserve"> ale </w:t>
      </w:r>
      <w:r w:rsidR="0096668E" w:rsidRPr="00BE7F1E">
        <w:rPr>
          <w:rFonts w:ascii="PermianSerifTypeface" w:hAnsi="PermianSerifTypeface"/>
          <w:lang w:val="ro-RO"/>
        </w:rPr>
        <w:t xml:space="preserve">consumatorului </w:t>
      </w:r>
      <w:r w:rsidR="00A94F1C" w:rsidRPr="00BE7F1E">
        <w:rPr>
          <w:rFonts w:ascii="PermianSerifTypeface" w:hAnsi="PermianSerifTypeface"/>
          <w:lang w:val="ro-RO"/>
        </w:rPr>
        <w:t xml:space="preserve">și informația privind costul deservirii tuturor creditelor/împrumuturilor valabile la momentul </w:t>
      </w:r>
      <w:r w:rsidR="006026E7" w:rsidRPr="00BE7F1E">
        <w:rPr>
          <w:rFonts w:ascii="PermianSerifTypeface" w:hAnsi="PermianSerifTypeface"/>
          <w:lang w:val="ro-RO"/>
        </w:rPr>
        <w:t>aprobă</w:t>
      </w:r>
      <w:r w:rsidR="00A94F1C" w:rsidRPr="00BE7F1E">
        <w:rPr>
          <w:rFonts w:ascii="PermianSerifTypeface" w:hAnsi="PermianSerifTypeface"/>
          <w:lang w:val="ro-RO"/>
        </w:rPr>
        <w:t>rii creditului</w:t>
      </w:r>
      <w:r w:rsidR="003C18FE" w:rsidRPr="00BE7F1E">
        <w:rPr>
          <w:rFonts w:ascii="PermianSerifTypeface" w:hAnsi="PermianSerifTypeface"/>
          <w:lang w:val="ro-RO"/>
        </w:rPr>
        <w:t xml:space="preserve"> în conformitate cu prevederile </w:t>
      </w:r>
      <w:r w:rsidR="00F42AFE" w:rsidRPr="00BE7F1E">
        <w:rPr>
          <w:rFonts w:ascii="PermianSerifTypeface" w:hAnsi="PermianSerifTypeface"/>
          <w:lang w:val="ro-RO"/>
        </w:rPr>
        <w:t>S</w:t>
      </w:r>
      <w:r w:rsidR="003C18FE" w:rsidRPr="00BE7F1E">
        <w:rPr>
          <w:rFonts w:ascii="PermianSerifTypeface" w:hAnsi="PermianSerifTypeface"/>
          <w:lang w:val="ro-RO"/>
        </w:rPr>
        <w:t>ecțiunii 2</w:t>
      </w:r>
      <w:r w:rsidR="00F42AFE" w:rsidRPr="00BE7F1E">
        <w:rPr>
          <w:rFonts w:ascii="PermianSerifTypeface" w:hAnsi="PermianSerifTypeface"/>
          <w:lang w:val="ro-RO"/>
        </w:rPr>
        <w:t xml:space="preserve"> </w:t>
      </w:r>
      <w:r w:rsidR="00F42AFE" w:rsidRPr="00BE7F1E">
        <w:rPr>
          <w:rFonts w:ascii="PermianSerifTypeface" w:eastAsia="Arial Unicode MS" w:hAnsi="PermianSerifTypeface"/>
          <w:bCs/>
          <w:lang w:val="ro-MD"/>
        </w:rPr>
        <w:t>din Capitolul III</w:t>
      </w:r>
      <w:r w:rsidR="00A94F1C" w:rsidRPr="00BE7F1E">
        <w:rPr>
          <w:rFonts w:ascii="PermianSerifTypeface" w:hAnsi="PermianSerifTypeface"/>
          <w:lang w:val="ro-RO"/>
        </w:rPr>
        <w:t>.</w:t>
      </w:r>
    </w:p>
    <w:p w14:paraId="723550FE" w14:textId="2C301FE8" w:rsidR="003A1A57" w:rsidRPr="00BE7F1E" w:rsidRDefault="003A1A57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Creditorul </w:t>
      </w:r>
      <w:r w:rsidR="00311174" w:rsidRPr="00BE7F1E">
        <w:rPr>
          <w:rFonts w:ascii="PermianSerifTypeface" w:hAnsi="PermianSerifTypeface"/>
          <w:lang w:val="ro-RO"/>
        </w:rPr>
        <w:t xml:space="preserve">trebuie </w:t>
      </w:r>
      <w:r w:rsidRPr="00BE7F1E">
        <w:rPr>
          <w:rFonts w:ascii="PermianSerifTypeface" w:hAnsi="PermianSerifTypeface"/>
          <w:lang w:val="ro-RO"/>
        </w:rPr>
        <w:t>să obțină rapoa</w:t>
      </w:r>
      <w:r w:rsidR="006D5263" w:rsidRPr="00BE7F1E">
        <w:rPr>
          <w:rFonts w:ascii="PermianSerifTypeface" w:hAnsi="PermianSerifTypeface"/>
          <w:lang w:val="ro-RO"/>
        </w:rPr>
        <w:t xml:space="preserve">rtele de credit aferente consumatorului </w:t>
      </w:r>
      <w:r w:rsidR="005A6510" w:rsidRPr="00BE7F1E">
        <w:rPr>
          <w:rFonts w:ascii="PermianSerifTypeface" w:hAnsi="PermianSerifTypeface"/>
          <w:lang w:val="ro-RO"/>
        </w:rPr>
        <w:t xml:space="preserve">care a solicitat creditul/împrumutul, emise </w:t>
      </w:r>
      <w:r w:rsidR="006D5263" w:rsidRPr="00BE7F1E">
        <w:rPr>
          <w:rFonts w:ascii="PermianSerifTypeface" w:hAnsi="PermianSerifTypeface"/>
          <w:lang w:val="ro-RO"/>
        </w:rPr>
        <w:t xml:space="preserve">de toate birourile istoriilor de credit </w:t>
      </w:r>
      <w:r w:rsidR="0043508C" w:rsidRPr="00BE7F1E">
        <w:rPr>
          <w:rFonts w:ascii="PermianSerifTypeface" w:hAnsi="PermianSerifTypeface"/>
          <w:lang w:val="ro-RO"/>
        </w:rPr>
        <w:t>funcționale</w:t>
      </w:r>
      <w:r w:rsidR="006D5263" w:rsidRPr="00BE7F1E">
        <w:rPr>
          <w:rFonts w:ascii="PermianSerifTypeface" w:hAnsi="PermianSerifTypeface"/>
          <w:lang w:val="ro-RO"/>
        </w:rPr>
        <w:t>, inclusiv prin intermediul schimbului de informații între acestea.</w:t>
      </w:r>
      <w:r w:rsidR="00A3481D" w:rsidRPr="00BE7F1E">
        <w:rPr>
          <w:rFonts w:ascii="PermianSerifTypeface" w:hAnsi="PermianSerifTypeface"/>
          <w:lang w:val="ro-RO"/>
        </w:rPr>
        <w:t xml:space="preserve"> </w:t>
      </w:r>
      <w:r w:rsidR="005A6510" w:rsidRPr="00BE7F1E">
        <w:rPr>
          <w:rFonts w:ascii="PermianSerifTypeface" w:hAnsi="PermianSerifTypeface"/>
          <w:lang w:val="ro-RO"/>
        </w:rPr>
        <w:t xml:space="preserve">Rapoartele istoriei de credit trebuie să conțină informațiile prezentate de către sursele de formare a istoriilor de credit stabilite conform prevederilor art.6 din </w:t>
      </w:r>
      <w:r w:rsidR="000619BC">
        <w:rPr>
          <w:rFonts w:ascii="PermianSerifTypeface" w:hAnsi="PermianSerifTypeface"/>
          <w:lang w:val="ro-RO"/>
        </w:rPr>
        <w:t>L</w:t>
      </w:r>
      <w:r w:rsidR="005A6510" w:rsidRPr="00BE7F1E">
        <w:rPr>
          <w:rFonts w:ascii="PermianSerifTypeface" w:hAnsi="PermianSerifTypeface"/>
          <w:lang w:val="ro-RO"/>
        </w:rPr>
        <w:t xml:space="preserve">egea nr.122/2008 privind birourile istoriilor de credit necesare în vederea calculării serviciului datoriei. </w:t>
      </w:r>
      <w:r w:rsidR="00A3481D" w:rsidRPr="00BE7F1E">
        <w:rPr>
          <w:rFonts w:ascii="PermianSerifTypeface" w:hAnsi="PermianSerifTypeface"/>
          <w:lang w:val="ro-RO"/>
        </w:rPr>
        <w:t xml:space="preserve">Creditorul nu poartă </w:t>
      </w:r>
      <w:r w:rsidR="001E334D" w:rsidRPr="00BE7F1E">
        <w:rPr>
          <w:rFonts w:ascii="PermianSerifTypeface" w:hAnsi="PermianSerifTypeface"/>
          <w:lang w:val="ro-RO"/>
        </w:rPr>
        <w:t>responsabilitate pentru</w:t>
      </w:r>
      <w:r w:rsidR="00A3481D" w:rsidRPr="00BE7F1E">
        <w:rPr>
          <w:rFonts w:ascii="PermianSerifTypeface" w:hAnsi="PermianSerifTypeface"/>
          <w:lang w:val="ro-RO"/>
        </w:rPr>
        <w:t xml:space="preserve"> </w:t>
      </w:r>
      <w:r w:rsidR="00A3481D" w:rsidRPr="00BE7F1E">
        <w:rPr>
          <w:rFonts w:ascii="PermianSerifTypeface" w:hAnsi="PermianSerifTypeface"/>
          <w:lang w:val="ro-RO"/>
        </w:rPr>
        <w:lastRenderedPageBreak/>
        <w:t xml:space="preserve">calitatea </w:t>
      </w:r>
      <w:r w:rsidR="005A6510" w:rsidRPr="00BE7F1E">
        <w:rPr>
          <w:rFonts w:ascii="PermianSerifTypeface" w:hAnsi="PermianSerifTypeface"/>
          <w:lang w:val="ro-RO"/>
        </w:rPr>
        <w:t xml:space="preserve">informațiilor din rapoartele de credit prezentate </w:t>
      </w:r>
      <w:r w:rsidR="00A3481D" w:rsidRPr="00BE7F1E">
        <w:rPr>
          <w:rFonts w:ascii="PermianSerifTypeface" w:hAnsi="PermianSerifTypeface"/>
          <w:lang w:val="ro-RO"/>
        </w:rPr>
        <w:t>de birourile istoriilor de credit.</w:t>
      </w:r>
    </w:p>
    <w:p w14:paraId="15D51F1C" w14:textId="7194D836" w:rsidR="00A94F1C" w:rsidRPr="00BE7F1E" w:rsidRDefault="00123184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bookmarkStart w:id="24" w:name="_Ref92185374"/>
      <w:r w:rsidRPr="00BE7F1E">
        <w:rPr>
          <w:rFonts w:ascii="PermianSerifTypeface" w:hAnsi="PermianSerifTypeface"/>
          <w:lang w:val="ro-RO"/>
        </w:rPr>
        <w:t>RS</w:t>
      </w:r>
      <w:r w:rsidR="00916BEF" w:rsidRPr="00BE7F1E">
        <w:rPr>
          <w:rFonts w:ascii="PermianSerifTypeface" w:hAnsi="PermianSerifTypeface"/>
          <w:lang w:val="ro-RO"/>
        </w:rPr>
        <w:t>D</w:t>
      </w:r>
      <w:r w:rsidRPr="00BE7F1E">
        <w:rPr>
          <w:rFonts w:ascii="PermianSerifTypeface" w:hAnsi="PermianSerifTypeface"/>
          <w:lang w:val="ro-RO"/>
        </w:rPr>
        <w:t>V</w:t>
      </w:r>
      <w:r w:rsidR="00AB1F8C" w:rsidRPr="00BE7F1E">
        <w:rPr>
          <w:rFonts w:ascii="PermianSerifTypeface" w:hAnsi="PermianSerifTypeface"/>
          <w:lang w:val="ro-RO"/>
        </w:rPr>
        <w:t xml:space="preserve"> </w:t>
      </w:r>
      <w:r w:rsidR="00A94F1C" w:rsidRPr="00BE7F1E">
        <w:rPr>
          <w:rFonts w:ascii="PermianSerifTypeface" w:hAnsi="PermianSerifTypeface"/>
          <w:lang w:val="ro-RO"/>
        </w:rPr>
        <w:t xml:space="preserve">nu </w:t>
      </w:r>
      <w:r w:rsidR="0043508C" w:rsidRPr="00BE7F1E">
        <w:rPr>
          <w:rFonts w:ascii="PermianSerifTypeface" w:hAnsi="PermianSerifTypeface"/>
          <w:lang w:val="ro-RO"/>
        </w:rPr>
        <w:t xml:space="preserve">trebuie să </w:t>
      </w:r>
      <w:r w:rsidR="00A94F1C" w:rsidRPr="00BE7F1E">
        <w:rPr>
          <w:rFonts w:ascii="PermianSerifTypeface" w:hAnsi="PermianSerifTypeface"/>
          <w:lang w:val="ro-RO"/>
        </w:rPr>
        <w:t>depășe</w:t>
      </w:r>
      <w:r w:rsidR="0043508C" w:rsidRPr="00BE7F1E">
        <w:rPr>
          <w:rFonts w:ascii="PermianSerifTypeface" w:hAnsi="PermianSerifTypeface"/>
          <w:lang w:val="ro-RO"/>
        </w:rPr>
        <w:t>ască</w:t>
      </w:r>
      <w:r w:rsidR="00A94F1C" w:rsidRPr="00BE7F1E">
        <w:rPr>
          <w:rFonts w:ascii="PermianSerifTypeface" w:hAnsi="PermianSerifTypeface"/>
          <w:lang w:val="ro-RO"/>
        </w:rPr>
        <w:t xml:space="preserve"> </w:t>
      </w:r>
      <w:r w:rsidR="00AA5C35" w:rsidRPr="00BE7F1E">
        <w:rPr>
          <w:rFonts w:ascii="PermianSerifTypeface" w:hAnsi="PermianSerifTypeface"/>
          <w:b/>
          <w:bCs/>
          <w:lang w:val="ro-RO"/>
        </w:rPr>
        <w:t>5</w:t>
      </w:r>
      <w:r w:rsidR="00147C75" w:rsidRPr="00BE7F1E">
        <w:rPr>
          <w:rFonts w:ascii="PermianSerifTypeface" w:hAnsi="PermianSerifTypeface"/>
          <w:b/>
          <w:bCs/>
          <w:lang w:val="ro-RO"/>
        </w:rPr>
        <w:t>0%</w:t>
      </w:r>
      <w:r w:rsidR="0049127A" w:rsidRPr="00BE7F1E">
        <w:rPr>
          <w:rFonts w:ascii="PermianSerifTypeface" w:hAnsi="PermianSerifTypeface"/>
          <w:lang w:val="ro-RO"/>
        </w:rPr>
        <w:t xml:space="preserve">, cu excepția cazurilor specificate la </w:t>
      </w:r>
      <w:r w:rsidR="00901359" w:rsidRPr="00BE7F1E">
        <w:rPr>
          <w:rFonts w:ascii="PermianSerifTypeface" w:hAnsi="PermianSerifTypeface"/>
          <w:lang w:val="ro-RO"/>
        </w:rPr>
        <w:t>pct</w:t>
      </w:r>
      <w:r w:rsidR="003C18FE" w:rsidRPr="00BE7F1E">
        <w:rPr>
          <w:rFonts w:ascii="PermianSerifTypeface" w:hAnsi="PermianSerifTypeface"/>
          <w:lang w:val="ro-RO"/>
        </w:rPr>
        <w:t>.</w:t>
      </w:r>
      <w:r w:rsidR="00DC0C0F" w:rsidRPr="00BE7F1E">
        <w:rPr>
          <w:rFonts w:ascii="PermianSerifTypeface" w:hAnsi="PermianSerifTypeface"/>
          <w:lang w:val="ro-RO"/>
        </w:rPr>
        <w:fldChar w:fldCharType="begin"/>
      </w:r>
      <w:r w:rsidR="00DC0C0F" w:rsidRPr="00BE7F1E">
        <w:rPr>
          <w:rFonts w:ascii="PermianSerifTypeface" w:hAnsi="PermianSerifTypeface"/>
          <w:lang w:val="ro-RO"/>
        </w:rPr>
        <w:instrText xml:space="preserve"> REF _Ref93393299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DC0C0F" w:rsidRPr="00BE7F1E">
        <w:rPr>
          <w:rFonts w:ascii="PermianSerifTypeface" w:hAnsi="PermianSerifTypeface"/>
          <w:lang w:val="ro-RO"/>
        </w:rPr>
      </w:r>
      <w:r w:rsidR="00DC0C0F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41</w:t>
      </w:r>
      <w:r w:rsidR="00DC0C0F" w:rsidRPr="00BE7F1E">
        <w:rPr>
          <w:rFonts w:ascii="PermianSerifTypeface" w:hAnsi="PermianSerifTypeface"/>
          <w:lang w:val="ro-RO"/>
        </w:rPr>
        <w:fldChar w:fldCharType="end"/>
      </w:r>
      <w:r w:rsidR="008420EA" w:rsidRPr="00BE7F1E">
        <w:rPr>
          <w:rFonts w:ascii="PermianSerifTypeface" w:hAnsi="PermianSerifTypeface"/>
          <w:lang w:val="ro-RO"/>
        </w:rPr>
        <w:t xml:space="preserve">, </w:t>
      </w:r>
      <w:r w:rsidR="008420EA" w:rsidRPr="00BE7F1E">
        <w:rPr>
          <w:rFonts w:ascii="PermianSerifTypeface" w:hAnsi="PermianSerifTypeface"/>
          <w:lang w:val="ro-RO"/>
        </w:rPr>
        <w:fldChar w:fldCharType="begin"/>
      </w:r>
      <w:r w:rsidR="008420EA" w:rsidRPr="00BE7F1E">
        <w:rPr>
          <w:rFonts w:ascii="PermianSerifTypeface" w:hAnsi="PermianSerifTypeface"/>
          <w:lang w:val="ro-RO"/>
        </w:rPr>
        <w:instrText xml:space="preserve"> REF _Ref85529103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8420EA" w:rsidRPr="00BE7F1E">
        <w:rPr>
          <w:rFonts w:ascii="PermianSerifTypeface" w:hAnsi="PermianSerifTypeface"/>
          <w:lang w:val="ro-RO"/>
        </w:rPr>
      </w:r>
      <w:r w:rsidR="008420EA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42</w:t>
      </w:r>
      <w:r w:rsidR="008420EA" w:rsidRPr="00BE7F1E">
        <w:rPr>
          <w:rFonts w:ascii="PermianSerifTypeface" w:hAnsi="PermianSerifTypeface"/>
          <w:lang w:val="ro-RO"/>
        </w:rPr>
        <w:fldChar w:fldCharType="end"/>
      </w:r>
      <w:r w:rsidR="0049127A" w:rsidRPr="00BE7F1E">
        <w:rPr>
          <w:rFonts w:ascii="PermianSerifTypeface" w:hAnsi="PermianSerifTypeface"/>
          <w:lang w:val="ro-RO"/>
        </w:rPr>
        <w:t xml:space="preserve"> </w:t>
      </w:r>
      <w:r w:rsidR="00697A08" w:rsidRPr="00BE7F1E">
        <w:rPr>
          <w:rFonts w:ascii="PermianSerifTypeface" w:hAnsi="PermianSerifTypeface"/>
          <w:lang w:val="ro-RO"/>
        </w:rPr>
        <w:t xml:space="preserve">și </w:t>
      </w:r>
      <w:r w:rsidR="00697A08" w:rsidRPr="00BE7F1E">
        <w:rPr>
          <w:rFonts w:ascii="PermianSerifTypeface" w:hAnsi="PermianSerifTypeface"/>
          <w:lang w:val="ro-RO"/>
        </w:rPr>
        <w:fldChar w:fldCharType="begin"/>
      </w:r>
      <w:r w:rsidR="00697A08" w:rsidRPr="00BE7F1E">
        <w:rPr>
          <w:rFonts w:ascii="PermianSerifTypeface" w:hAnsi="PermianSerifTypeface"/>
          <w:lang w:val="ro-RO"/>
        </w:rPr>
        <w:instrText xml:space="preserve"> REF _Ref75940975 \r \h </w:instrText>
      </w:r>
      <w:r w:rsidR="00B140F8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697A08" w:rsidRPr="00BE7F1E">
        <w:rPr>
          <w:rFonts w:ascii="PermianSerifTypeface" w:hAnsi="PermianSerifTypeface"/>
          <w:lang w:val="ro-RO"/>
        </w:rPr>
      </w:r>
      <w:r w:rsidR="00697A08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43</w:t>
      </w:r>
      <w:r w:rsidR="00697A08" w:rsidRPr="00BE7F1E">
        <w:rPr>
          <w:rFonts w:ascii="PermianSerifTypeface" w:hAnsi="PermianSerifTypeface"/>
          <w:lang w:val="ro-RO"/>
        </w:rPr>
        <w:fldChar w:fldCharType="end"/>
      </w:r>
      <w:r w:rsidR="0049127A" w:rsidRPr="00BE7F1E">
        <w:rPr>
          <w:rFonts w:ascii="PermianSerifTypeface" w:hAnsi="PermianSerifTypeface"/>
          <w:lang w:val="ro-RO"/>
        </w:rPr>
        <w:t>.</w:t>
      </w:r>
      <w:bookmarkEnd w:id="24"/>
    </w:p>
    <w:p w14:paraId="64413D1C" w14:textId="77777777" w:rsidR="00A94F1C" w:rsidRPr="00BE7F1E" w:rsidRDefault="00A94F1C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În cazul refinanțării unui credit eliberat anterior, valoarea deservirii acestuia va fi substituită, în calcul, cu valoarea deservirii creditului nou.</w:t>
      </w:r>
    </w:p>
    <w:p w14:paraId="086D3B26" w14:textId="2C7EC1F1" w:rsidR="00A94F1C" w:rsidRPr="00BE7F1E" w:rsidRDefault="007A7EDA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bookmarkStart w:id="25" w:name="_Ref100313562"/>
      <w:r w:rsidRPr="00BE7F1E">
        <w:rPr>
          <w:rFonts w:ascii="PermianSerifTypeface" w:hAnsi="PermianSerifTypeface"/>
          <w:lang w:val="ro-RO"/>
        </w:rPr>
        <w:t xml:space="preserve">RSDV </w:t>
      </w:r>
      <w:r w:rsidR="00A94F1C" w:rsidRPr="00BE7F1E">
        <w:rPr>
          <w:rFonts w:ascii="PermianSerifTypeface" w:hAnsi="PermianSerifTypeface"/>
          <w:lang w:val="ro-RO"/>
        </w:rPr>
        <w:t>se calculează conform formulei:</w:t>
      </w:r>
      <w:bookmarkEnd w:id="25"/>
    </w:p>
    <w:p w14:paraId="1F10C40C" w14:textId="3FE82462" w:rsidR="00A94F1C" w:rsidRPr="00BE7F1E" w:rsidRDefault="0013180E" w:rsidP="00497793">
      <w:pPr>
        <w:spacing w:before="240"/>
        <w:ind w:left="360"/>
        <w:rPr>
          <w:rFonts w:ascii="PermianSerifTypeface" w:hAnsi="PermianSerifTypeface"/>
          <w:lang w:val="ro-RO"/>
        </w:rPr>
      </w:pPr>
      <m:oMathPara>
        <m:oMath>
          <m:r>
            <w:rPr>
              <w:rFonts w:ascii="Cambria Math" w:hAnsi="Cambria Math"/>
              <w:lang w:val="ro-RO"/>
            </w:rPr>
            <m:t xml:space="preserve">RSDV= 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/>
                  <w:lang w:val="ro-RO"/>
                </w:rPr>
                <m:t>Serviciul datoriei</m:t>
              </m:r>
            </m:num>
            <m:den>
              <m:r>
                <w:rPr>
                  <w:rFonts w:ascii="Cambria Math" w:hAnsi="Cambria Math"/>
                  <w:lang w:val="ro-RO"/>
                </w:rPr>
                <m:t>Venitul mediu lunar</m:t>
              </m:r>
            </m:den>
          </m:f>
          <m:r>
            <w:rPr>
              <w:rFonts w:ascii="Cambria Math" w:hAnsi="Cambria Math"/>
              <w:lang w:val="ro-RO"/>
            </w:rPr>
            <m:t>×100%</m:t>
          </m:r>
        </m:oMath>
      </m:oMathPara>
    </w:p>
    <w:p w14:paraId="757DC426" w14:textId="77777777" w:rsidR="00A94F1C" w:rsidRPr="00BE7F1E" w:rsidRDefault="00A94F1C" w:rsidP="00EA6274">
      <w:pPr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unde:</w:t>
      </w:r>
    </w:p>
    <w:p w14:paraId="74DAE601" w14:textId="686899AE" w:rsidR="00A94F1C" w:rsidRPr="00BE7F1E" w:rsidRDefault="00A94F1C" w:rsidP="00497793">
      <w:pPr>
        <w:pStyle w:val="ListParagraph"/>
        <w:numPr>
          <w:ilvl w:val="0"/>
          <w:numId w:val="33"/>
        </w:numPr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i/>
          <w:iCs/>
          <w:lang w:val="ro-RO"/>
        </w:rPr>
        <w:t>Serviciul datoriei</w:t>
      </w:r>
      <w:r w:rsidRPr="00BE7F1E">
        <w:rPr>
          <w:rFonts w:ascii="PermianSerifTypeface" w:hAnsi="PermianSerifTypeface"/>
          <w:lang w:val="ro-RO"/>
        </w:rPr>
        <w:t xml:space="preserve"> - valoarea</w:t>
      </w:r>
      <w:r w:rsidR="00BD2A40" w:rsidRPr="00BE7F1E">
        <w:rPr>
          <w:rFonts w:ascii="PermianSerifTypeface" w:hAnsi="PermianSerifTypeface"/>
          <w:lang w:val="ro-RO"/>
        </w:rPr>
        <w:t xml:space="preserve"> definită în pct.7 subpct.9</w:t>
      </w:r>
      <w:r w:rsidR="0049551D" w:rsidRPr="00BE7F1E">
        <w:rPr>
          <w:rFonts w:ascii="PermianSerifTypeface" w:hAnsi="PermianSerifTypeface"/>
          <w:lang w:val="ro-RO"/>
        </w:rPr>
        <w:t>)</w:t>
      </w:r>
      <w:r w:rsidRPr="00BE7F1E">
        <w:rPr>
          <w:rFonts w:ascii="PermianSerifTypeface" w:hAnsi="PermianSerifTypeface"/>
          <w:lang w:val="ro-RO"/>
        </w:rPr>
        <w:t xml:space="preserve">. </w:t>
      </w:r>
    </w:p>
    <w:p w14:paraId="0CB6AC7A" w14:textId="03A70911" w:rsidR="00A94F1C" w:rsidRPr="00BE7F1E" w:rsidRDefault="00A94F1C" w:rsidP="00497793">
      <w:pPr>
        <w:pStyle w:val="ListParagraph"/>
        <w:numPr>
          <w:ilvl w:val="0"/>
          <w:numId w:val="33"/>
        </w:numPr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i/>
          <w:iCs/>
          <w:lang w:val="ro-RO"/>
        </w:rPr>
        <w:t>Venitul mediu lunar</w:t>
      </w:r>
      <w:r w:rsidRPr="00BE7F1E">
        <w:rPr>
          <w:rFonts w:ascii="PermianSerifTypeface" w:hAnsi="PermianSerifTypeface"/>
          <w:lang w:val="ro-RO"/>
        </w:rPr>
        <w:t xml:space="preserve"> - </w:t>
      </w:r>
      <w:bookmarkStart w:id="26" w:name="_Hlk75946214"/>
      <w:r w:rsidRPr="00BE7F1E">
        <w:rPr>
          <w:rFonts w:ascii="PermianSerifTypeface" w:hAnsi="PermianSerifTypeface"/>
          <w:lang w:val="ro-RO"/>
        </w:rPr>
        <w:t xml:space="preserve">venitul mediu lunar al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Pr="00BE7F1E">
        <w:rPr>
          <w:rFonts w:ascii="PermianSerifTypeface" w:hAnsi="PermianSerifTypeface"/>
          <w:lang w:val="ro-RO"/>
        </w:rPr>
        <w:t xml:space="preserve">ului </w:t>
      </w:r>
      <w:r w:rsidR="005D4DE1" w:rsidRPr="00BE7F1E">
        <w:rPr>
          <w:rFonts w:ascii="PermianSerifTypeface" w:hAnsi="PermianSerifTypeface"/>
          <w:lang w:val="ro-RO"/>
        </w:rPr>
        <w:t xml:space="preserve">obținut </w:t>
      </w:r>
      <w:r w:rsidRPr="00BE7F1E">
        <w:rPr>
          <w:rFonts w:ascii="PermianSerifTypeface" w:hAnsi="PermianSerifTypeface"/>
          <w:lang w:val="ro-RO"/>
        </w:rPr>
        <w:t xml:space="preserve">de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Pr="00BE7F1E">
        <w:rPr>
          <w:rFonts w:ascii="PermianSerifTypeface" w:hAnsi="PermianSerifTypeface"/>
          <w:lang w:val="ro-RO"/>
        </w:rPr>
        <w:t xml:space="preserve"> în cel puțin ultimele șase luni</w:t>
      </w:r>
      <w:r w:rsidR="00F872DC" w:rsidRPr="00BE7F1E">
        <w:rPr>
          <w:rFonts w:ascii="PermianSerifTypeface" w:hAnsi="PermianSerifTypeface"/>
          <w:lang w:val="ro-RO"/>
        </w:rPr>
        <w:t xml:space="preserve"> disponibile</w:t>
      </w:r>
      <w:r w:rsidR="00123184" w:rsidRPr="00BE7F1E">
        <w:rPr>
          <w:rFonts w:ascii="PermianSerifTypeface" w:hAnsi="PermianSerifTypeface"/>
          <w:lang w:val="ro-RO"/>
        </w:rPr>
        <w:t xml:space="preserve"> pentru evaluare</w:t>
      </w:r>
      <w:r w:rsidR="00103EF2" w:rsidRPr="00BE7F1E">
        <w:rPr>
          <w:rFonts w:ascii="PermianSerifTypeface" w:hAnsi="PermianSerifTypeface"/>
          <w:lang w:val="ro-RO"/>
        </w:rPr>
        <w:t xml:space="preserve">, </w:t>
      </w:r>
      <w:r w:rsidR="00C756BD" w:rsidRPr="00BE7F1E">
        <w:rPr>
          <w:rFonts w:ascii="PermianSerifTypeface" w:hAnsi="PermianSerifTypeface"/>
          <w:lang w:val="ro-RO"/>
        </w:rPr>
        <w:t xml:space="preserve">calculat după deducerea obligațiilor fiscale specificate în legislația în vigoare (net), </w:t>
      </w:r>
      <w:r w:rsidR="00DF718B" w:rsidRPr="00BE7F1E">
        <w:rPr>
          <w:rFonts w:ascii="PermianSerifTypeface" w:hAnsi="PermianSerifTypeface"/>
          <w:lang w:val="ro-RO"/>
        </w:rPr>
        <w:t xml:space="preserve">excepție pentru veniturile din pensie, pentru care se va accepta </w:t>
      </w:r>
      <w:r w:rsidR="009B74CC" w:rsidRPr="00BE7F1E">
        <w:rPr>
          <w:rFonts w:ascii="PermianSerifTypeface" w:hAnsi="PermianSerifTypeface"/>
          <w:lang w:val="ro-RO"/>
        </w:rPr>
        <w:t>cel puțin o</w:t>
      </w:r>
      <w:r w:rsidR="00DF718B" w:rsidRPr="00BE7F1E">
        <w:rPr>
          <w:rFonts w:ascii="PermianSerifTypeface" w:hAnsi="PermianSerifTypeface"/>
          <w:lang w:val="ro-RO"/>
        </w:rPr>
        <w:t xml:space="preserve"> încasare pentru o lună, </w:t>
      </w:r>
      <w:r w:rsidR="00103EF2" w:rsidRPr="00BE7F1E">
        <w:rPr>
          <w:rFonts w:ascii="PermianSerifTypeface" w:hAnsi="PermianSerifTypeface"/>
          <w:lang w:val="ro-RO"/>
        </w:rPr>
        <w:t>dar nu mai mult de 12 luni</w:t>
      </w:r>
      <w:r w:rsidRPr="00BE7F1E">
        <w:rPr>
          <w:rFonts w:ascii="PermianSerifTypeface" w:hAnsi="PermianSerifTypeface"/>
          <w:lang w:val="ro-RO"/>
        </w:rPr>
        <w:t xml:space="preserve"> până la depunerea cererii pentru credit</w:t>
      </w:r>
      <w:bookmarkEnd w:id="26"/>
      <w:r w:rsidRPr="00BE7F1E">
        <w:rPr>
          <w:rFonts w:ascii="PermianSerifTypeface" w:hAnsi="PermianSerifTypeface"/>
          <w:lang w:val="ro-RO"/>
        </w:rPr>
        <w:t xml:space="preserve">. În calculul venitului mediu lunar se vor include doar veniturile </w:t>
      </w:r>
      <w:r w:rsidR="00ED28C9" w:rsidRPr="00BE7F1E">
        <w:rPr>
          <w:rFonts w:ascii="PermianSerifTypeface" w:hAnsi="PermianSerifTypeface"/>
          <w:lang w:val="ro-RO"/>
        </w:rPr>
        <w:t xml:space="preserve">confirmate </w:t>
      </w:r>
      <w:r w:rsidRPr="00BE7F1E">
        <w:rPr>
          <w:rFonts w:ascii="PermianSerifTypeface" w:hAnsi="PermianSerifTypeface"/>
          <w:lang w:val="ro-RO"/>
        </w:rPr>
        <w:t>cu caracter regulat</w:t>
      </w:r>
      <w:r w:rsidR="00B73928" w:rsidRPr="00BE7F1E">
        <w:rPr>
          <w:rFonts w:ascii="PermianSerifTypeface" w:hAnsi="PermianSerifTypeface"/>
          <w:lang w:val="ro-RO"/>
        </w:rPr>
        <w:t xml:space="preserve"> </w:t>
      </w:r>
      <w:r w:rsidRPr="00BE7F1E">
        <w:rPr>
          <w:rFonts w:ascii="PermianSerifTypeface" w:hAnsi="PermianSerifTypeface"/>
          <w:lang w:val="ro-RO"/>
        </w:rPr>
        <w:t xml:space="preserve">pe care creditorul le recunoaște drept </w:t>
      </w:r>
      <w:r w:rsidR="006825B4" w:rsidRPr="00BE7F1E">
        <w:rPr>
          <w:rFonts w:ascii="PermianSerifTypeface" w:hAnsi="PermianSerifTypeface"/>
          <w:lang w:val="ro-RO"/>
        </w:rPr>
        <w:t>sustenabile</w:t>
      </w:r>
      <w:r w:rsidR="006B7B6F" w:rsidRPr="00BE7F1E">
        <w:rPr>
          <w:rFonts w:ascii="PermianSerifTypeface" w:hAnsi="PermianSerifTypeface"/>
          <w:lang w:val="ro-RO"/>
        </w:rPr>
        <w:t xml:space="preserve">, ținând cont de prevederile </w:t>
      </w:r>
      <w:r w:rsidR="001A3756" w:rsidRPr="00BE7F1E">
        <w:rPr>
          <w:rFonts w:ascii="PermianSerifTypeface" w:hAnsi="PermianSerifTypeface"/>
          <w:lang w:val="ro-RO"/>
        </w:rPr>
        <w:t>pct.</w:t>
      </w:r>
      <w:r w:rsidR="001A3756" w:rsidRPr="00BE7F1E">
        <w:rPr>
          <w:rFonts w:ascii="PermianSerifTypeface" w:hAnsi="PermianSerifTypeface"/>
          <w:lang w:val="ro-RO"/>
        </w:rPr>
        <w:fldChar w:fldCharType="begin"/>
      </w:r>
      <w:r w:rsidR="001A3756" w:rsidRPr="00BE7F1E">
        <w:rPr>
          <w:rFonts w:ascii="PermianSerifTypeface" w:hAnsi="PermianSerifTypeface"/>
          <w:lang w:val="ro-RO"/>
        </w:rPr>
        <w:instrText xml:space="preserve"> REF _Ref103242628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1A3756" w:rsidRPr="00BE7F1E">
        <w:rPr>
          <w:rFonts w:ascii="PermianSerifTypeface" w:hAnsi="PermianSerifTypeface"/>
          <w:lang w:val="ro-RO"/>
        </w:rPr>
      </w:r>
      <w:r w:rsidR="001A3756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18</w:t>
      </w:r>
      <w:r w:rsidR="001A3756" w:rsidRPr="00BE7F1E">
        <w:rPr>
          <w:rFonts w:ascii="PermianSerifTypeface" w:hAnsi="PermianSerifTypeface"/>
          <w:lang w:val="ro-RO"/>
        </w:rPr>
        <w:fldChar w:fldCharType="end"/>
      </w:r>
      <w:r w:rsidR="001A3756" w:rsidRPr="00BE7F1E">
        <w:rPr>
          <w:rFonts w:ascii="PermianSerifTypeface" w:hAnsi="PermianSerifTypeface"/>
          <w:lang w:val="ro-RO"/>
        </w:rPr>
        <w:t>;</w:t>
      </w:r>
      <w:r w:rsidRPr="00BE7F1E">
        <w:rPr>
          <w:rFonts w:ascii="PermianSerifTypeface" w:hAnsi="PermianSerifTypeface"/>
          <w:lang w:val="ro-RO"/>
        </w:rPr>
        <w:t xml:space="preserve"> iar </w:t>
      </w:r>
      <w:r w:rsidR="006825B4" w:rsidRPr="00BE7F1E">
        <w:rPr>
          <w:rFonts w:ascii="PermianSerifTypeface" w:hAnsi="PermianSerifTypeface"/>
          <w:lang w:val="ro-RO"/>
        </w:rPr>
        <w:t>sustenabilitatea</w:t>
      </w:r>
      <w:r w:rsidRPr="00BE7F1E">
        <w:rPr>
          <w:rFonts w:ascii="PermianSerifTypeface" w:hAnsi="PermianSerifTypeface"/>
          <w:lang w:val="ro-RO"/>
        </w:rPr>
        <w:t xml:space="preserve"> pe termen lung a venitului va fi, de asemenea, evaluată de creditor. </w:t>
      </w:r>
    </w:p>
    <w:p w14:paraId="7C679E6C" w14:textId="3A137D16" w:rsidR="00A94F1C" w:rsidRPr="00BE7F1E" w:rsidRDefault="00A94F1C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Pentru contract</w:t>
      </w:r>
      <w:r w:rsidR="00D5632F" w:rsidRPr="00BE7F1E">
        <w:rPr>
          <w:rFonts w:ascii="PermianSerifTypeface" w:hAnsi="PermianSerifTypeface"/>
          <w:lang w:val="ro-RO"/>
        </w:rPr>
        <w:t>ele</w:t>
      </w:r>
      <w:r w:rsidRPr="00BE7F1E">
        <w:rPr>
          <w:rFonts w:ascii="PermianSerifTypeface" w:hAnsi="PermianSerifTypeface"/>
          <w:lang w:val="ro-RO"/>
        </w:rPr>
        <w:t xml:space="preserve"> de credit prin care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Pr="00BE7F1E">
        <w:rPr>
          <w:rFonts w:ascii="PermianSerifTypeface" w:hAnsi="PermianSerifTypeface"/>
          <w:lang w:val="ro-RO"/>
        </w:rPr>
        <w:t xml:space="preserve">ului i se acordă dreptul de a trage mijloace fără a depăși limita de credit stabilită, plata </w:t>
      </w:r>
      <w:r w:rsidR="004F23F9" w:rsidRPr="00BE7F1E">
        <w:rPr>
          <w:rFonts w:ascii="PermianSerifTypeface" w:hAnsi="PermianSerifTypeface"/>
          <w:lang w:val="ro-RO"/>
        </w:rPr>
        <w:t xml:space="preserve">medie </w:t>
      </w:r>
      <w:r w:rsidRPr="00BE7F1E">
        <w:rPr>
          <w:rFonts w:ascii="PermianSerifTypeface" w:hAnsi="PermianSerifTypeface"/>
          <w:lang w:val="ro-RO"/>
        </w:rPr>
        <w:t xml:space="preserve">lunară se calculează </w:t>
      </w:r>
      <w:r w:rsidR="003818DC" w:rsidRPr="00BE7F1E">
        <w:rPr>
          <w:rFonts w:ascii="PermianSerifTypeface" w:hAnsi="PermianSerifTypeface"/>
          <w:lang w:val="ro-RO"/>
        </w:rPr>
        <w:t>prin adăugarea</w:t>
      </w:r>
      <w:r w:rsidR="00F02DE2" w:rsidRPr="00BE7F1E">
        <w:rPr>
          <w:rFonts w:ascii="PermianSerifTypeface" w:hAnsi="PermianSerifTypeface"/>
          <w:lang w:val="ro-RO"/>
        </w:rPr>
        <w:t xml:space="preserve"> </w:t>
      </w:r>
      <w:r w:rsidRPr="00BE7F1E">
        <w:rPr>
          <w:rFonts w:ascii="PermianSerifTypeface" w:hAnsi="PermianSerifTypeface"/>
          <w:lang w:val="ro-RO"/>
        </w:rPr>
        <w:t>valor</w:t>
      </w:r>
      <w:r w:rsidR="00F02DE2" w:rsidRPr="00BE7F1E">
        <w:rPr>
          <w:rFonts w:ascii="PermianSerifTypeface" w:hAnsi="PermianSerifTypeface"/>
          <w:lang w:val="ro-RO"/>
        </w:rPr>
        <w:t>ii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3818DC" w:rsidRPr="00BE7F1E">
        <w:rPr>
          <w:rFonts w:ascii="PermianSerifTypeface" w:hAnsi="PermianSerifTypeface"/>
          <w:lang w:val="ro-RO"/>
        </w:rPr>
        <w:t>limitei de</w:t>
      </w:r>
      <w:r w:rsidRPr="00BE7F1E">
        <w:rPr>
          <w:rFonts w:ascii="PermianSerifTypeface" w:hAnsi="PermianSerifTypeface"/>
          <w:lang w:val="ro-RO"/>
        </w:rPr>
        <w:t xml:space="preserve"> credit</w:t>
      </w:r>
      <w:r w:rsidR="003818DC" w:rsidRPr="00BE7F1E">
        <w:rPr>
          <w:rFonts w:ascii="PermianSerifTypeface" w:hAnsi="PermianSerifTypeface"/>
          <w:lang w:val="ro-RO"/>
        </w:rPr>
        <w:t xml:space="preserve"> </w:t>
      </w:r>
      <w:r w:rsidRPr="00BE7F1E">
        <w:rPr>
          <w:rFonts w:ascii="PermianSerifTypeface" w:hAnsi="PermianSerifTypeface"/>
          <w:lang w:val="ro-RO"/>
        </w:rPr>
        <w:t>și costul</w:t>
      </w:r>
      <w:r w:rsidR="00F02DE2" w:rsidRPr="00BE7F1E">
        <w:rPr>
          <w:rFonts w:ascii="PermianSerifTypeface" w:hAnsi="PermianSerifTypeface"/>
          <w:lang w:val="ro-RO"/>
        </w:rPr>
        <w:t>ui</w:t>
      </w:r>
      <w:r w:rsidRPr="00BE7F1E">
        <w:rPr>
          <w:rFonts w:ascii="PermianSerifTypeface" w:hAnsi="PermianSerifTypeface"/>
          <w:lang w:val="ro-RO"/>
        </w:rPr>
        <w:t xml:space="preserve"> creditului împărțit la </w:t>
      </w:r>
      <w:r w:rsidR="001F18BE" w:rsidRPr="00BE7F1E">
        <w:rPr>
          <w:rFonts w:ascii="PermianSerifTypeface" w:hAnsi="PermianSerifTypeface"/>
          <w:lang w:val="ro-RO"/>
        </w:rPr>
        <w:t>numărul de luni stabilit de către bancă în graficul de rambursare a creditului</w:t>
      </w:r>
      <w:r w:rsidRPr="00BE7F1E">
        <w:rPr>
          <w:rFonts w:ascii="PermianSerifTypeface" w:hAnsi="PermianSerifTypeface"/>
          <w:lang w:val="ro-RO"/>
        </w:rPr>
        <w:t>.</w:t>
      </w:r>
    </w:p>
    <w:p w14:paraId="7795D71E" w14:textId="46DE65BC" w:rsidR="00A94F1C" w:rsidRPr="00BE7F1E" w:rsidRDefault="00A94F1C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bookmarkStart w:id="27" w:name="_Ref75940009"/>
      <w:r w:rsidRPr="00BE7F1E">
        <w:rPr>
          <w:rFonts w:ascii="PermianSerifTypeface" w:hAnsi="PermianSerifTypeface"/>
          <w:lang w:val="ro-RO"/>
        </w:rPr>
        <w:t xml:space="preserve">Pentru creditele </w:t>
      </w:r>
      <w:r w:rsidR="00DF0256" w:rsidRPr="00BE7F1E">
        <w:rPr>
          <w:rFonts w:ascii="PermianSerifTypeface" w:hAnsi="PermianSerifTypeface"/>
          <w:lang w:val="ro-RO"/>
        </w:rPr>
        <w:t xml:space="preserve">solicitate pentru acordare </w:t>
      </w:r>
      <w:r w:rsidRPr="00BE7F1E">
        <w:rPr>
          <w:rFonts w:ascii="PermianSerifTypeface" w:hAnsi="PermianSerifTypeface"/>
          <w:lang w:val="ro-RO"/>
        </w:rPr>
        <w:t>cu rata flotantă a dobânzii (care poate fi modificată în mod regulat sau în conformitate cu termen</w:t>
      </w:r>
      <w:r w:rsidR="00AE02FD" w:rsidRPr="00BE7F1E">
        <w:rPr>
          <w:rFonts w:ascii="PermianSerifTypeface" w:hAnsi="PermianSerifTypeface"/>
          <w:lang w:val="ro-RO"/>
        </w:rPr>
        <w:t>ele</w:t>
      </w:r>
      <w:r w:rsidRPr="00BE7F1E">
        <w:rPr>
          <w:rFonts w:ascii="PermianSerifTypeface" w:hAnsi="PermianSerifTypeface"/>
          <w:lang w:val="ro-RO"/>
        </w:rPr>
        <w:t xml:space="preserve"> și condițiile specificate în contractul de credit pe durata de valabilitate a acestuia), creditorul trebuie să efectueze</w:t>
      </w:r>
      <w:r w:rsidR="007F67F0" w:rsidRPr="00BE7F1E">
        <w:rPr>
          <w:rFonts w:ascii="PermianSerifTypeface" w:hAnsi="PermianSerifTypeface"/>
          <w:lang w:val="ro-RO"/>
        </w:rPr>
        <w:t xml:space="preserve"> </w:t>
      </w:r>
      <w:r w:rsidRPr="00BE7F1E">
        <w:rPr>
          <w:rFonts w:ascii="PermianSerifTypeface" w:hAnsi="PermianSerifTypeface"/>
          <w:lang w:val="ro-RO"/>
        </w:rPr>
        <w:t xml:space="preserve">un test de sensibilitate la rata dobânzii și să se asigure că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Pr="00BE7F1E">
        <w:rPr>
          <w:rFonts w:ascii="PermianSerifTypeface" w:hAnsi="PermianSerifTypeface"/>
          <w:lang w:val="ro-RO"/>
        </w:rPr>
        <w:t xml:space="preserve">ul va putea onora obligațiile aferente creditului dacă rata dobânzii crește. În cadrul testului de sensibilitate, la calcularea RSDV, creditorul trebuie să utilizeze rata aplicabilă a </w:t>
      </w:r>
      <w:r w:rsidR="00AB1F8C" w:rsidRPr="00BE7F1E">
        <w:rPr>
          <w:rFonts w:ascii="PermianSerifTypeface" w:hAnsi="PermianSerifTypeface"/>
          <w:lang w:val="ro-RO"/>
        </w:rPr>
        <w:t xml:space="preserve">dobânzii pentru </w:t>
      </w:r>
      <w:r w:rsidR="007D6644" w:rsidRPr="00BE7F1E">
        <w:rPr>
          <w:rFonts w:ascii="PermianSerifTypeface" w:hAnsi="PermianSerifTypeface"/>
          <w:lang w:val="ro-RO"/>
        </w:rPr>
        <w:t>credit</w:t>
      </w:r>
      <w:r w:rsidRPr="00BE7F1E">
        <w:rPr>
          <w:rFonts w:ascii="PermianSerifTypeface" w:hAnsi="PermianSerifTypeface"/>
          <w:lang w:val="ro-RO"/>
        </w:rPr>
        <w:t xml:space="preserve"> nu mai mică decât </w:t>
      </w:r>
      <w:r w:rsidR="00147C75" w:rsidRPr="00BE7F1E">
        <w:rPr>
          <w:rFonts w:ascii="PermianSerifTypeface" w:hAnsi="PermianSerifTypeface"/>
          <w:bCs/>
          <w:lang w:val="ro-RO"/>
        </w:rPr>
        <w:t xml:space="preserve">rata medie </w:t>
      </w:r>
      <w:r w:rsidR="003818DC" w:rsidRPr="00BE7F1E">
        <w:rPr>
          <w:rFonts w:ascii="PermianSerifTypeface" w:hAnsi="PermianSerifTypeface"/>
          <w:bCs/>
          <w:lang w:val="ro-RO"/>
        </w:rPr>
        <w:t xml:space="preserve">ponderată a dobânzilor </w:t>
      </w:r>
      <w:r w:rsidR="00147C75" w:rsidRPr="00BE7F1E">
        <w:rPr>
          <w:rFonts w:ascii="PermianSerifTypeface" w:hAnsi="PermianSerifTypeface"/>
          <w:bCs/>
          <w:lang w:val="ro-RO"/>
        </w:rPr>
        <w:t>pentru creditele noi acordate</w:t>
      </w:r>
      <w:r w:rsidR="00B146E4" w:rsidRPr="00BE7F1E">
        <w:rPr>
          <w:rFonts w:ascii="PermianSerifTypeface" w:hAnsi="PermianSerifTypeface"/>
          <w:lang w:val="ro-RO"/>
        </w:rPr>
        <w:t xml:space="preserve"> </w:t>
      </w:r>
      <w:r w:rsidR="00B40CCF" w:rsidRPr="00BE7F1E">
        <w:rPr>
          <w:rFonts w:ascii="PermianSerifTypeface" w:hAnsi="PermianSerifTypeface"/>
          <w:lang w:val="ro-RO"/>
        </w:rPr>
        <w:t xml:space="preserve">conform </w:t>
      </w:r>
      <w:r w:rsidR="00B146E4" w:rsidRPr="00BE7F1E">
        <w:rPr>
          <w:rFonts w:ascii="PermianSerifTypeface" w:hAnsi="PermianSerifTypeface"/>
          <w:lang w:val="ro-RO"/>
        </w:rPr>
        <w:t>ultim</w:t>
      </w:r>
      <w:r w:rsidR="00B40CCF" w:rsidRPr="00BE7F1E">
        <w:rPr>
          <w:rFonts w:ascii="PermianSerifTypeface" w:hAnsi="PermianSerifTypeface"/>
          <w:lang w:val="ro-RO"/>
        </w:rPr>
        <w:t>ului raport publicat de Banca Națională</w:t>
      </w:r>
      <w:r w:rsidR="00B146E4" w:rsidRPr="00BE7F1E">
        <w:rPr>
          <w:rFonts w:ascii="PermianSerifTypeface" w:hAnsi="PermianSerifTypeface"/>
          <w:lang w:val="ro-RO"/>
        </w:rPr>
        <w:t>, pentru tipul și termenul corespunzător al creditului</w:t>
      </w:r>
      <w:r w:rsidR="00147C75" w:rsidRPr="00BE7F1E">
        <w:rPr>
          <w:rFonts w:ascii="PermianSerifTypeface" w:hAnsi="PermianSerifTypeface"/>
          <w:b/>
          <w:bCs/>
          <w:lang w:val="ro-RO"/>
        </w:rPr>
        <w:t xml:space="preserve"> </w:t>
      </w:r>
      <w:r w:rsidR="00311174" w:rsidRPr="00BE7F1E">
        <w:rPr>
          <w:rFonts w:ascii="PermianSerifTypeface" w:hAnsi="PermianSerifTypeface"/>
          <w:bCs/>
          <w:lang w:val="ro-RO"/>
        </w:rPr>
        <w:t xml:space="preserve">plus </w:t>
      </w:r>
      <w:r w:rsidR="00147C75" w:rsidRPr="00BE7F1E">
        <w:rPr>
          <w:rFonts w:ascii="PermianSerifTypeface" w:hAnsi="PermianSerifTypeface"/>
          <w:bCs/>
          <w:lang w:val="ro-RO"/>
        </w:rPr>
        <w:t xml:space="preserve">4 </w:t>
      </w:r>
      <w:r w:rsidR="000619BC">
        <w:rPr>
          <w:rFonts w:ascii="PermianSerifTypeface" w:hAnsi="PermianSerifTypeface"/>
          <w:bCs/>
          <w:lang w:val="ro-RO"/>
        </w:rPr>
        <w:t>puncte procentuale</w:t>
      </w:r>
      <w:r w:rsidRPr="00BE7F1E">
        <w:rPr>
          <w:rFonts w:ascii="PermianSerifTypeface" w:hAnsi="PermianSerifTypeface"/>
          <w:lang w:val="ro-RO"/>
        </w:rPr>
        <w:t xml:space="preserve">. Valoarea RSDV </w:t>
      </w:r>
      <w:r w:rsidR="001F2691" w:rsidRPr="00BE7F1E">
        <w:rPr>
          <w:rFonts w:ascii="PermianSerifTypeface" w:hAnsi="PermianSerifTypeface"/>
          <w:lang w:val="ro-RO"/>
        </w:rPr>
        <w:t xml:space="preserve">obținută </w:t>
      </w:r>
      <w:r w:rsidR="00CA2F71">
        <w:rPr>
          <w:rFonts w:ascii="PermianSerifTypeface" w:hAnsi="PermianSerifTypeface"/>
          <w:lang w:val="ro-RO"/>
        </w:rPr>
        <w:t xml:space="preserve">ca </w:t>
      </w:r>
      <w:r w:rsidR="001F2691" w:rsidRPr="00BE7F1E">
        <w:rPr>
          <w:rFonts w:ascii="PermianSerifTypeface" w:hAnsi="PermianSerifTypeface"/>
          <w:lang w:val="ro-RO"/>
        </w:rPr>
        <w:t>urmare a</w:t>
      </w:r>
      <w:r w:rsidRPr="00BE7F1E">
        <w:rPr>
          <w:rFonts w:ascii="PermianSerifTypeface" w:hAnsi="PermianSerifTypeface"/>
          <w:lang w:val="ro-RO"/>
        </w:rPr>
        <w:t xml:space="preserve"> testul</w:t>
      </w:r>
      <w:r w:rsidR="001F2691" w:rsidRPr="00BE7F1E">
        <w:rPr>
          <w:rFonts w:ascii="PermianSerifTypeface" w:hAnsi="PermianSerifTypeface"/>
          <w:lang w:val="ro-RO"/>
        </w:rPr>
        <w:t>ui</w:t>
      </w:r>
      <w:r w:rsidRPr="00BE7F1E">
        <w:rPr>
          <w:rFonts w:ascii="PermianSerifTypeface" w:hAnsi="PermianSerifTypeface"/>
          <w:lang w:val="ro-RO"/>
        </w:rPr>
        <w:t xml:space="preserve"> de sensibilitate al ratei </w:t>
      </w:r>
      <w:r w:rsidR="001F2691" w:rsidRPr="00BE7F1E">
        <w:rPr>
          <w:rFonts w:ascii="PermianSerifTypeface" w:hAnsi="PermianSerifTypeface"/>
          <w:lang w:val="ro-RO"/>
        </w:rPr>
        <w:t xml:space="preserve">dobânzii la </w:t>
      </w:r>
      <w:r w:rsidR="007D6644" w:rsidRPr="00BE7F1E">
        <w:rPr>
          <w:rFonts w:ascii="PermianSerifTypeface" w:hAnsi="PermianSerifTypeface"/>
          <w:lang w:val="ro-RO"/>
        </w:rPr>
        <w:t>credi</w:t>
      </w:r>
      <w:r w:rsidRPr="00BE7F1E">
        <w:rPr>
          <w:rFonts w:ascii="PermianSerifTypeface" w:hAnsi="PermianSerifTypeface"/>
          <w:lang w:val="ro-RO"/>
        </w:rPr>
        <w:t xml:space="preserve">t nu trebuie să depășească nivelul </w:t>
      </w:r>
      <w:r w:rsidR="00147C75" w:rsidRPr="00BE7F1E">
        <w:rPr>
          <w:rFonts w:ascii="PermianSerifTypeface" w:hAnsi="PermianSerifTypeface"/>
          <w:lang w:val="ro-RO"/>
        </w:rPr>
        <w:t xml:space="preserve">de </w:t>
      </w:r>
      <w:r w:rsidR="00D9315C" w:rsidRPr="00BE7F1E">
        <w:rPr>
          <w:rFonts w:ascii="PermianSerifTypeface" w:hAnsi="PermianSerifTypeface"/>
          <w:b/>
          <w:bCs/>
          <w:lang w:val="ro-RO"/>
        </w:rPr>
        <w:t>65</w:t>
      </w:r>
      <w:r w:rsidR="00147C75" w:rsidRPr="00BE7F1E">
        <w:rPr>
          <w:rFonts w:ascii="PermianSerifTypeface" w:hAnsi="PermianSerifTypeface"/>
          <w:b/>
          <w:bCs/>
          <w:lang w:val="ro-RO"/>
        </w:rPr>
        <w:t>%</w:t>
      </w:r>
      <w:r w:rsidR="0096668E" w:rsidRPr="00BE7F1E">
        <w:rPr>
          <w:rFonts w:ascii="PermianSerifTypeface" w:hAnsi="PermianSerifTypeface"/>
          <w:lang w:val="ro-RO"/>
        </w:rPr>
        <w:t>, cu excepția cazului specificat la p</w:t>
      </w:r>
      <w:r w:rsidR="000B7A40" w:rsidRPr="00BE7F1E">
        <w:rPr>
          <w:rFonts w:ascii="PermianSerifTypeface" w:hAnsi="PermianSerifTypeface"/>
          <w:lang w:val="ro-RO"/>
        </w:rPr>
        <w:t>ct</w:t>
      </w:r>
      <w:r w:rsidR="0096668E" w:rsidRPr="00BE7F1E">
        <w:rPr>
          <w:rFonts w:ascii="PermianSerifTypeface" w:hAnsi="PermianSerifTypeface"/>
          <w:lang w:val="ro-RO"/>
        </w:rPr>
        <w:t>.</w:t>
      </w:r>
      <w:r w:rsidR="00921D2D" w:rsidRPr="00BE7F1E">
        <w:rPr>
          <w:rFonts w:ascii="PermianSerifTypeface" w:hAnsi="PermianSerifTypeface"/>
          <w:lang w:val="ro-RO"/>
        </w:rPr>
        <w:fldChar w:fldCharType="begin"/>
      </w:r>
      <w:r w:rsidR="00921D2D" w:rsidRPr="00BE7F1E">
        <w:rPr>
          <w:rFonts w:ascii="PermianSerifTypeface" w:hAnsi="PermianSerifTypeface"/>
          <w:lang w:val="ro-RO"/>
        </w:rPr>
        <w:instrText xml:space="preserve"> REF _Ref85529103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921D2D" w:rsidRPr="00BE7F1E">
        <w:rPr>
          <w:rFonts w:ascii="PermianSerifTypeface" w:hAnsi="PermianSerifTypeface"/>
          <w:lang w:val="ro-RO"/>
        </w:rPr>
      </w:r>
      <w:r w:rsidR="00921D2D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42</w:t>
      </w:r>
      <w:r w:rsidR="00921D2D" w:rsidRPr="00BE7F1E">
        <w:rPr>
          <w:rFonts w:ascii="PermianSerifTypeface" w:hAnsi="PermianSerifTypeface"/>
          <w:lang w:val="ro-RO"/>
        </w:rPr>
        <w:fldChar w:fldCharType="end"/>
      </w:r>
      <w:r w:rsidR="0096668E" w:rsidRPr="00BE7F1E">
        <w:rPr>
          <w:rFonts w:ascii="PermianSerifTypeface" w:hAnsi="PermianSerifTypeface"/>
          <w:lang w:val="ro-RO"/>
        </w:rPr>
        <w:fldChar w:fldCharType="begin"/>
      </w:r>
      <w:r w:rsidR="0096668E" w:rsidRPr="00BE7F1E">
        <w:rPr>
          <w:rFonts w:ascii="PermianSerifTypeface" w:hAnsi="PermianSerifTypeface"/>
          <w:lang w:val="ro-RO"/>
        </w:rPr>
        <w:instrText xml:space="preserve"> REF _Ref85529103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96668E" w:rsidRPr="00BE7F1E">
        <w:rPr>
          <w:rFonts w:ascii="PermianSerifTypeface" w:hAnsi="PermianSerifTypeface"/>
          <w:lang w:val="ro-RO"/>
        </w:rPr>
      </w:r>
      <w:r w:rsidR="0096668E" w:rsidRPr="00BE7F1E">
        <w:rPr>
          <w:rFonts w:ascii="PermianSerifTypeface" w:hAnsi="PermianSerifTypeface"/>
          <w:lang w:val="ro-RO"/>
        </w:rPr>
        <w:fldChar w:fldCharType="end"/>
      </w:r>
      <w:r w:rsidR="0096668E" w:rsidRPr="00BE7F1E">
        <w:rPr>
          <w:rFonts w:ascii="PermianSerifTypeface" w:hAnsi="PermianSerifTypeface"/>
          <w:lang w:val="ro-RO"/>
        </w:rPr>
        <w:t xml:space="preserve"> pentru care se va aplica nivelul de </w:t>
      </w:r>
      <w:r w:rsidR="00705829" w:rsidRPr="00BE7F1E">
        <w:rPr>
          <w:rFonts w:ascii="PermianSerifTypeface" w:hAnsi="PermianSerifTypeface"/>
          <w:b/>
          <w:bCs/>
          <w:lang w:val="ro-RO"/>
        </w:rPr>
        <w:t>8</w:t>
      </w:r>
      <w:r w:rsidR="001C4977" w:rsidRPr="00BE7F1E">
        <w:rPr>
          <w:rFonts w:ascii="PermianSerifTypeface" w:hAnsi="PermianSerifTypeface"/>
          <w:b/>
          <w:bCs/>
          <w:lang w:val="ro-RO"/>
        </w:rPr>
        <w:t>0</w:t>
      </w:r>
      <w:r w:rsidR="0096668E" w:rsidRPr="00BE7F1E">
        <w:rPr>
          <w:rFonts w:ascii="PermianSerifTypeface" w:hAnsi="PermianSerifTypeface"/>
          <w:b/>
          <w:bCs/>
          <w:lang w:val="ro-RO"/>
        </w:rPr>
        <w:t>%</w:t>
      </w:r>
      <w:r w:rsidRPr="00BE7F1E">
        <w:rPr>
          <w:rFonts w:ascii="PermianSerifTypeface" w:hAnsi="PermianSerifTypeface"/>
          <w:lang w:val="ro-RO"/>
        </w:rPr>
        <w:t>.</w:t>
      </w:r>
      <w:bookmarkEnd w:id="27"/>
    </w:p>
    <w:p w14:paraId="14BD93E4" w14:textId="27D4F46C" w:rsidR="00F87D4C" w:rsidRPr="00BE7F1E" w:rsidRDefault="00F87D4C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bookmarkStart w:id="28" w:name="_Ref100308009"/>
      <w:bookmarkStart w:id="29" w:name="_Ref83808866"/>
      <w:bookmarkStart w:id="30" w:name="_Ref75940887"/>
      <w:r w:rsidRPr="00BE7F1E">
        <w:rPr>
          <w:rFonts w:ascii="PermianSerifTypeface" w:hAnsi="PermianSerifTypeface"/>
          <w:lang w:val="ro-RO"/>
        </w:rPr>
        <w:t>RS</w:t>
      </w:r>
      <w:r w:rsidR="00B146E4" w:rsidRPr="00BE7F1E">
        <w:rPr>
          <w:rFonts w:ascii="PermianSerifTypeface" w:hAnsi="PermianSerifTypeface"/>
          <w:lang w:val="ro-RO"/>
        </w:rPr>
        <w:t>D</w:t>
      </w:r>
      <w:r w:rsidRPr="00BE7F1E">
        <w:rPr>
          <w:rFonts w:ascii="PermianSerifTypeface" w:hAnsi="PermianSerifTypeface"/>
          <w:lang w:val="ro-RO"/>
        </w:rPr>
        <w:t xml:space="preserve">V </w:t>
      </w:r>
      <w:r w:rsidR="001041EC" w:rsidRPr="00BE7F1E">
        <w:rPr>
          <w:rFonts w:ascii="PermianSerifTypeface" w:hAnsi="PermianSerifTypeface"/>
          <w:lang w:val="ro-RO"/>
        </w:rPr>
        <w:t>nu se aplică creditelor acordate în baza Legii nr.293/2017</w:t>
      </w:r>
      <w:r w:rsidR="00697A08" w:rsidRPr="00BE7F1E">
        <w:rPr>
          <w:rFonts w:ascii="PermianSerifTypeface" w:hAnsi="PermianSerifTypeface"/>
          <w:lang w:val="it-IT"/>
        </w:rPr>
        <w:t xml:space="preserve"> </w:t>
      </w:r>
      <w:r w:rsidR="00697A08" w:rsidRPr="00BE7F1E">
        <w:rPr>
          <w:rFonts w:ascii="PermianSerifTypeface" w:hAnsi="PermianSerifTypeface"/>
          <w:lang w:val="ro-RO"/>
        </w:rPr>
        <w:t>privind unele măsuri în vederea implementării Programului de stat “Prima casă”</w:t>
      </w:r>
      <w:r w:rsidRPr="00BE7F1E">
        <w:rPr>
          <w:rFonts w:ascii="PermianSerifTypeface" w:hAnsi="PermianSerifTypeface"/>
          <w:lang w:val="ro-RO"/>
        </w:rPr>
        <w:t>.</w:t>
      </w:r>
      <w:bookmarkEnd w:id="28"/>
    </w:p>
    <w:p w14:paraId="52993607" w14:textId="5CAA7923" w:rsidR="005C3EA9" w:rsidRPr="00BE7F1E" w:rsidRDefault="00D83B1D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bookmarkStart w:id="31" w:name="_Ref93393299"/>
      <w:bookmarkStart w:id="32" w:name="_Hlk92190053"/>
      <w:r w:rsidRPr="00BE7F1E">
        <w:rPr>
          <w:rFonts w:ascii="PermianSerifTypeface" w:hAnsi="PermianSerifTypeface"/>
          <w:lang w:val="ro-RO"/>
        </w:rPr>
        <w:t xml:space="preserve">Prin derogare de la prevederile prezentului </w:t>
      </w:r>
      <w:r w:rsidRPr="00611677">
        <w:rPr>
          <w:rFonts w:ascii="PermianSerifTypeface" w:hAnsi="PermianSerifTypeface"/>
          <w:lang w:val="ro-RO"/>
        </w:rPr>
        <w:t>R</w:t>
      </w:r>
      <w:r w:rsidRPr="00BE7F1E">
        <w:rPr>
          <w:rFonts w:ascii="PermianSerifTypeface" w:hAnsi="PermianSerifTypeface"/>
          <w:lang w:val="ro-RO"/>
        </w:rPr>
        <w:t xml:space="preserve">egulament, în cazul imposibilității </w:t>
      </w:r>
      <w:r w:rsidR="00195BD0" w:rsidRPr="00BE7F1E">
        <w:rPr>
          <w:rFonts w:ascii="PermianSerifTypeface" w:hAnsi="PermianSerifTypeface"/>
          <w:lang w:val="ro-RO"/>
        </w:rPr>
        <w:t xml:space="preserve">demonstrării </w:t>
      </w:r>
      <w:r w:rsidRPr="00BE7F1E">
        <w:rPr>
          <w:rFonts w:ascii="PermianSerifTypeface" w:hAnsi="PermianSerifTypeface"/>
          <w:lang w:val="ro-RO"/>
        </w:rPr>
        <w:t xml:space="preserve">venitului </w:t>
      </w:r>
      <w:r w:rsidR="00195BD0" w:rsidRPr="00BE7F1E">
        <w:rPr>
          <w:rFonts w:ascii="PermianSerifTypeface" w:hAnsi="PermianSerifTypeface"/>
          <w:lang w:val="ro-RO"/>
        </w:rPr>
        <w:t xml:space="preserve">confirmat </w:t>
      </w:r>
      <w:r w:rsidRPr="00BE7F1E">
        <w:rPr>
          <w:rFonts w:ascii="PermianSerifTypeface" w:hAnsi="PermianSerifTypeface"/>
          <w:lang w:val="ro-RO"/>
        </w:rPr>
        <w:t xml:space="preserve">al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Pr="00BE7F1E">
        <w:rPr>
          <w:rFonts w:ascii="PermianSerifTypeface" w:hAnsi="PermianSerifTypeface"/>
          <w:lang w:val="ro-RO"/>
        </w:rPr>
        <w:t>ului,</w:t>
      </w:r>
      <w:r w:rsidR="00C35912" w:rsidRPr="00BE7F1E">
        <w:rPr>
          <w:rFonts w:ascii="PermianSerifTypeface" w:hAnsi="PermianSerifTypeface"/>
          <w:lang w:val="it-IT"/>
        </w:rPr>
        <w:t xml:space="preserve"> d</w:t>
      </w:r>
      <w:proofErr w:type="spellStart"/>
      <w:r w:rsidR="00C35912" w:rsidRPr="00BE7F1E">
        <w:rPr>
          <w:rFonts w:ascii="PermianSerifTypeface" w:hAnsi="PermianSerifTypeface"/>
          <w:lang w:val="ro-RO"/>
        </w:rPr>
        <w:t>ecizia</w:t>
      </w:r>
      <w:proofErr w:type="spellEnd"/>
      <w:r w:rsidR="00C35912" w:rsidRPr="00BE7F1E">
        <w:rPr>
          <w:rFonts w:ascii="PermianSerifTypeface" w:hAnsi="PermianSerifTypeface"/>
          <w:lang w:val="ro-RO"/>
        </w:rPr>
        <w:t xml:space="preserve"> de acordare a împrumutului trebuie să se bazeze pe o evaluare prudentă a capacității consumatorului de a rambursa creditul pe durata contractului de credit, iar</w:t>
      </w:r>
      <w:r w:rsidRPr="00BE7F1E">
        <w:rPr>
          <w:rFonts w:ascii="PermianSerifTypeface" w:hAnsi="PermianSerifTypeface"/>
          <w:lang w:val="ro-RO"/>
        </w:rPr>
        <w:t xml:space="preserve"> </w:t>
      </w:r>
      <w:r w:rsidR="00B03D62" w:rsidRPr="00BE7F1E">
        <w:rPr>
          <w:rFonts w:ascii="PermianSerifTypeface" w:hAnsi="PermianSerifTypeface"/>
          <w:lang w:val="ro-RO"/>
        </w:rPr>
        <w:t>mărimea maximă</w:t>
      </w:r>
      <w:r w:rsidR="0071706B" w:rsidRPr="00BE7F1E">
        <w:rPr>
          <w:rFonts w:ascii="PermianSerifTypeface" w:hAnsi="PermianSerifTypeface"/>
          <w:lang w:val="ro-RO"/>
        </w:rPr>
        <w:t xml:space="preserve"> cumulativ</w:t>
      </w:r>
      <w:r w:rsidR="0071706B" w:rsidRPr="00BE7F1E">
        <w:rPr>
          <w:rFonts w:ascii="PermianSerifTypeface" w:hAnsi="PermianSerifTypeface"/>
          <w:lang w:val="ro-MD"/>
        </w:rPr>
        <w:t>ă</w:t>
      </w:r>
      <w:r w:rsidR="00B03D62" w:rsidRPr="00BE7F1E">
        <w:rPr>
          <w:rFonts w:ascii="PermianSerifTypeface" w:hAnsi="PermianSerifTypeface"/>
          <w:lang w:val="ro-RO"/>
        </w:rPr>
        <w:t xml:space="preserve"> a serviciului datoriei lunare a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="00B03D62" w:rsidRPr="00BE7F1E">
        <w:rPr>
          <w:rFonts w:ascii="PermianSerifTypeface" w:hAnsi="PermianSerifTypeface"/>
          <w:lang w:val="ro-RO"/>
        </w:rPr>
        <w:t>ului</w:t>
      </w:r>
      <w:r w:rsidR="00431743" w:rsidRPr="00BE7F1E">
        <w:rPr>
          <w:rFonts w:ascii="PermianSerifTypeface" w:hAnsi="PermianSerifTypeface"/>
          <w:lang w:val="ro-RO"/>
        </w:rPr>
        <w:t xml:space="preserve"> </w:t>
      </w:r>
      <w:bookmarkEnd w:id="31"/>
      <w:r w:rsidR="00737F9C" w:rsidRPr="00BE7F1E">
        <w:rPr>
          <w:rFonts w:ascii="PermianSerifTypeface" w:hAnsi="PermianSerifTypeface"/>
          <w:lang w:val="ro-RO"/>
        </w:rPr>
        <w:t>nu va depăși</w:t>
      </w:r>
      <w:r w:rsidR="0047427F" w:rsidRPr="00BE7F1E">
        <w:rPr>
          <w:rFonts w:ascii="PermianSerifTypeface" w:hAnsi="PermianSerifTypeface"/>
          <w:lang w:val="ro-RO"/>
        </w:rPr>
        <w:t xml:space="preserve"> valoarea mai mare dintre</w:t>
      </w:r>
      <w:r w:rsidR="00737F9C" w:rsidRPr="00BE7F1E">
        <w:rPr>
          <w:rFonts w:ascii="PermianSerifTypeface" w:hAnsi="PermianSerifTypeface"/>
          <w:lang w:val="ro-RO"/>
        </w:rPr>
        <w:t xml:space="preserve">: </w:t>
      </w:r>
    </w:p>
    <w:p w14:paraId="63BFF199" w14:textId="7E59DB1D" w:rsidR="005C3EA9" w:rsidRPr="00BE7F1E" w:rsidRDefault="00385D91" w:rsidP="00497793">
      <w:pPr>
        <w:numPr>
          <w:ilvl w:val="1"/>
          <w:numId w:val="34"/>
        </w:numPr>
        <w:ind w:left="567" w:hanging="283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50</w:t>
      </w:r>
      <w:r w:rsidR="00650EFA" w:rsidRPr="00BE7F1E">
        <w:rPr>
          <w:rFonts w:ascii="PermianSerifTypeface" w:hAnsi="PermianSerifTypeface"/>
          <w:lang w:val="ro-RO"/>
        </w:rPr>
        <w:t>% din cuantumul salariului minim pe țară, stabilit de Guvernul Republicii Moldova</w:t>
      </w:r>
      <w:r w:rsidR="000B1723" w:rsidRPr="00BE7F1E">
        <w:rPr>
          <w:rFonts w:ascii="PermianSerifTypeface" w:hAnsi="PermianSerifTypeface"/>
          <w:lang w:val="ro-RO"/>
        </w:rPr>
        <w:t xml:space="preserve">; </w:t>
      </w:r>
    </w:p>
    <w:p w14:paraId="284A90BC" w14:textId="0F91C09B" w:rsidR="00737F9C" w:rsidRPr="00BE7F1E" w:rsidRDefault="00385D91" w:rsidP="00497793">
      <w:pPr>
        <w:numPr>
          <w:ilvl w:val="1"/>
          <w:numId w:val="34"/>
        </w:numPr>
        <w:ind w:left="567" w:hanging="283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lastRenderedPageBreak/>
        <w:t>50</w:t>
      </w:r>
      <w:r w:rsidR="00650EFA" w:rsidRPr="00BE7F1E">
        <w:rPr>
          <w:rFonts w:ascii="PermianSerifTypeface" w:hAnsi="PermianSerifTypeface"/>
          <w:lang w:val="ro-RO"/>
        </w:rPr>
        <w:t xml:space="preserve">% din valoarea medie lunară a costurilor de deservire a creditelor, achitată de consumator cel puțin în 3 luni din ultimele 6 luni până la depunerea cererii pentru credit. Prevederea nu </w:t>
      </w:r>
      <w:r w:rsidR="008E0772" w:rsidRPr="00BE7F1E">
        <w:rPr>
          <w:rFonts w:ascii="PermianSerifTypeface" w:hAnsi="PermianSerifTypeface"/>
          <w:lang w:val="ro-RO"/>
        </w:rPr>
        <w:t>s</w:t>
      </w:r>
      <w:r w:rsidR="00650EFA" w:rsidRPr="00BE7F1E">
        <w:rPr>
          <w:rFonts w:ascii="PermianSerifTypeface" w:hAnsi="PermianSerifTypeface"/>
          <w:lang w:val="ro-RO"/>
        </w:rPr>
        <w:t>e aplică în cazul în care consumatorul, pe parcursul ultimelor 12 luni până la depunerea cererii pentru credit, a înregistrat cel puțin o plată expirată mai mare de 30 de zile la deservirea oricărui credit.</w:t>
      </w:r>
    </w:p>
    <w:p w14:paraId="0B7CCA6E" w14:textId="052DB643" w:rsidR="005D2B3F" w:rsidRPr="00BE7F1E" w:rsidRDefault="00A94F1C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bookmarkStart w:id="33" w:name="_Ref85529103"/>
      <w:bookmarkEnd w:id="32"/>
      <w:r w:rsidRPr="00BE7F1E">
        <w:rPr>
          <w:rFonts w:ascii="PermianSerifTypeface" w:hAnsi="PermianSerifTypeface"/>
          <w:lang w:val="ro-RO"/>
        </w:rPr>
        <w:t xml:space="preserve">RSDV al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Pr="00BE7F1E">
        <w:rPr>
          <w:rFonts w:ascii="PermianSerifTypeface" w:hAnsi="PermianSerifTypeface"/>
          <w:lang w:val="ro-RO"/>
        </w:rPr>
        <w:t xml:space="preserve">ului poate fi mai mare </w:t>
      </w:r>
      <w:r w:rsidR="00463E84" w:rsidRPr="00BE7F1E">
        <w:rPr>
          <w:rFonts w:ascii="PermianSerifTypeface" w:hAnsi="PermianSerifTypeface"/>
          <w:lang w:val="ro-RO"/>
        </w:rPr>
        <w:t>cu până la 1</w:t>
      </w:r>
      <w:r w:rsidR="00F932C6" w:rsidRPr="00BE7F1E">
        <w:rPr>
          <w:rFonts w:ascii="PermianSerifTypeface" w:hAnsi="PermianSerifTypeface"/>
          <w:lang w:val="ro-RO"/>
        </w:rPr>
        <w:t>0</w:t>
      </w:r>
      <w:r w:rsidR="00463E84" w:rsidRPr="00BE7F1E">
        <w:rPr>
          <w:rFonts w:ascii="PermianSerifTypeface" w:hAnsi="PermianSerifTypeface"/>
          <w:lang w:val="ro-RO"/>
        </w:rPr>
        <w:t xml:space="preserve"> puncte procentuale </w:t>
      </w:r>
      <w:r w:rsidRPr="00BE7F1E">
        <w:rPr>
          <w:rFonts w:ascii="PermianSerifTypeface" w:hAnsi="PermianSerifTypeface"/>
          <w:lang w:val="ro-RO"/>
        </w:rPr>
        <w:t xml:space="preserve">decât valoarea </w:t>
      </w:r>
      <w:r w:rsidR="00147C75" w:rsidRPr="00BE7F1E">
        <w:rPr>
          <w:rFonts w:ascii="PermianSerifTypeface" w:hAnsi="PermianSerifTypeface"/>
          <w:lang w:val="ro-RO"/>
        </w:rPr>
        <w:t>specificată la p</w:t>
      </w:r>
      <w:r w:rsidR="00463E84" w:rsidRPr="00BE7F1E">
        <w:rPr>
          <w:rFonts w:ascii="PermianSerifTypeface" w:hAnsi="PermianSerifTypeface"/>
          <w:lang w:val="ro-RO"/>
        </w:rPr>
        <w:t>ct.</w:t>
      </w:r>
      <w:r w:rsidR="00463E84" w:rsidRPr="00BE7F1E">
        <w:rPr>
          <w:rFonts w:ascii="PermianSerifTypeface" w:hAnsi="PermianSerifTypeface"/>
          <w:lang w:val="ro-RO"/>
        </w:rPr>
        <w:fldChar w:fldCharType="begin"/>
      </w:r>
      <w:r w:rsidR="00463E84" w:rsidRPr="00BE7F1E">
        <w:rPr>
          <w:rFonts w:ascii="PermianSerifTypeface" w:hAnsi="PermianSerifTypeface"/>
          <w:lang w:val="ro-RO"/>
        </w:rPr>
        <w:instrText xml:space="preserve"> REF _Ref103173153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463E84" w:rsidRPr="00BE7F1E">
        <w:rPr>
          <w:rFonts w:ascii="PermianSerifTypeface" w:hAnsi="PermianSerifTypeface"/>
          <w:lang w:val="ro-RO"/>
        </w:rPr>
      </w:r>
      <w:r w:rsidR="00463E84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20</w:t>
      </w:r>
      <w:r w:rsidR="00463E84" w:rsidRPr="00BE7F1E">
        <w:rPr>
          <w:rFonts w:ascii="PermianSerifTypeface" w:hAnsi="PermianSerifTypeface"/>
          <w:lang w:val="ro-RO"/>
        </w:rPr>
        <w:fldChar w:fldCharType="end"/>
      </w:r>
      <w:r w:rsidR="00463E84" w:rsidRPr="00BE7F1E">
        <w:rPr>
          <w:rFonts w:ascii="PermianSerifTypeface" w:hAnsi="PermianSerifTypeface"/>
          <w:lang w:val="ro-RO"/>
        </w:rPr>
        <w:t xml:space="preserve"> și p</w:t>
      </w:r>
      <w:r w:rsidR="00147C75" w:rsidRPr="00BE7F1E">
        <w:rPr>
          <w:rFonts w:ascii="PermianSerifTypeface" w:hAnsi="PermianSerifTypeface"/>
          <w:lang w:val="ro-RO"/>
        </w:rPr>
        <w:t>ct</w:t>
      </w:r>
      <w:r w:rsidR="00463E84" w:rsidRPr="00BE7F1E">
        <w:rPr>
          <w:rFonts w:ascii="PermianSerifTypeface" w:hAnsi="PermianSerifTypeface"/>
          <w:lang w:val="ro-RO"/>
        </w:rPr>
        <w:t>.</w:t>
      </w:r>
      <w:r w:rsidR="003E41D5" w:rsidRPr="00BE7F1E">
        <w:rPr>
          <w:rFonts w:ascii="PermianSerifTypeface" w:hAnsi="PermianSerifTypeface"/>
          <w:lang w:val="ro-RO"/>
        </w:rPr>
        <w:fldChar w:fldCharType="begin"/>
      </w:r>
      <w:r w:rsidR="003E41D5" w:rsidRPr="00BE7F1E">
        <w:rPr>
          <w:rFonts w:ascii="PermianSerifTypeface" w:hAnsi="PermianSerifTypeface"/>
          <w:lang w:val="ro-RO"/>
        </w:rPr>
        <w:instrText xml:space="preserve"> REF _Ref92185374 \r \h </w:instrText>
      </w:r>
      <w:r w:rsidR="00CE31A5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3E41D5" w:rsidRPr="00BE7F1E">
        <w:rPr>
          <w:rFonts w:ascii="PermianSerifTypeface" w:hAnsi="PermianSerifTypeface"/>
          <w:lang w:val="ro-RO"/>
        </w:rPr>
      </w:r>
      <w:r w:rsidR="003E41D5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35</w:t>
      </w:r>
      <w:r w:rsidR="003E41D5" w:rsidRPr="00BE7F1E">
        <w:rPr>
          <w:rFonts w:ascii="PermianSerifTypeface" w:hAnsi="PermianSerifTypeface"/>
          <w:lang w:val="ro-RO"/>
        </w:rPr>
        <w:fldChar w:fldCharType="end"/>
      </w:r>
      <w:r w:rsidRPr="00BE7F1E">
        <w:rPr>
          <w:rFonts w:ascii="PermianSerifTypeface" w:hAnsi="PermianSerifTypeface"/>
          <w:lang w:val="ro-RO"/>
        </w:rPr>
        <w:t xml:space="preserve">, atunci când </w:t>
      </w:r>
      <w:r w:rsidR="001642FB" w:rsidRPr="00BE7F1E">
        <w:rPr>
          <w:rFonts w:ascii="PermianSerifTypeface" w:hAnsi="PermianSerifTypeface"/>
          <w:lang w:val="ro-RO"/>
        </w:rPr>
        <w:t>venitu</w:t>
      </w:r>
      <w:r w:rsidR="00EA751B" w:rsidRPr="00BE7F1E">
        <w:rPr>
          <w:rFonts w:ascii="PermianSerifTypeface" w:hAnsi="PermianSerifTypeface"/>
          <w:lang w:val="ro-RO"/>
        </w:rPr>
        <w:t>l mediu lunar al consumatorului, descris la pct</w:t>
      </w:r>
      <w:r w:rsidR="000B7A40" w:rsidRPr="00BE7F1E">
        <w:rPr>
          <w:rFonts w:ascii="PermianSerifTypeface" w:hAnsi="PermianSerifTypeface"/>
          <w:lang w:val="ro-RO"/>
        </w:rPr>
        <w:t>.</w:t>
      </w:r>
      <w:r w:rsidR="00EA751B" w:rsidRPr="00BE7F1E">
        <w:rPr>
          <w:rFonts w:ascii="PermianSerifTypeface" w:hAnsi="PermianSerifTypeface"/>
          <w:lang w:val="ro-RO"/>
        </w:rPr>
        <w:fldChar w:fldCharType="begin"/>
      </w:r>
      <w:r w:rsidR="00EA751B" w:rsidRPr="00BE7F1E">
        <w:rPr>
          <w:rFonts w:ascii="PermianSerifTypeface" w:hAnsi="PermianSerifTypeface"/>
          <w:lang w:val="ro-RO"/>
        </w:rPr>
        <w:instrText xml:space="preserve"> REF _Ref100313562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EA751B" w:rsidRPr="00BE7F1E">
        <w:rPr>
          <w:rFonts w:ascii="PermianSerifTypeface" w:hAnsi="PermianSerifTypeface"/>
          <w:lang w:val="ro-RO"/>
        </w:rPr>
      </w:r>
      <w:r w:rsidR="00EA751B" w:rsidRPr="00BE7F1E">
        <w:rPr>
          <w:rFonts w:ascii="PermianSerifTypeface" w:hAnsi="PermianSerifTypeface"/>
          <w:lang w:val="ro-RO"/>
        </w:rPr>
        <w:fldChar w:fldCharType="separate"/>
      </w:r>
      <w:r w:rsidR="000B7A40" w:rsidRPr="00BE7F1E">
        <w:rPr>
          <w:rFonts w:ascii="PermianSerifTypeface" w:hAnsi="PermianSerifTypeface"/>
          <w:lang w:val="ro-RO"/>
        </w:rPr>
        <w:t>37</w:t>
      </w:r>
      <w:r w:rsidR="00EA751B" w:rsidRPr="00BE7F1E">
        <w:rPr>
          <w:rFonts w:ascii="PermianSerifTypeface" w:hAnsi="PermianSerifTypeface"/>
          <w:lang w:val="ro-RO"/>
        </w:rPr>
        <w:fldChar w:fldCharType="end"/>
      </w:r>
      <w:r w:rsidR="00EA751B" w:rsidRPr="00BE7F1E">
        <w:rPr>
          <w:rFonts w:ascii="PermianSerifTypeface" w:hAnsi="PermianSerifTypeface"/>
          <w:lang w:val="ro-RO"/>
        </w:rPr>
        <w:t xml:space="preserve">, </w:t>
      </w:r>
      <w:r w:rsidR="001642FB" w:rsidRPr="00BE7F1E">
        <w:rPr>
          <w:rFonts w:ascii="PermianSerifTypeface" w:hAnsi="PermianSerifTypeface"/>
          <w:lang w:val="ro-RO"/>
        </w:rPr>
        <w:t>depășe</w:t>
      </w:r>
      <w:r w:rsidR="00EA751B" w:rsidRPr="00BE7F1E">
        <w:rPr>
          <w:rFonts w:ascii="PermianSerifTypeface" w:hAnsi="PermianSerifTypeface"/>
          <w:lang w:val="ro-RO"/>
        </w:rPr>
        <w:t>ște</w:t>
      </w:r>
      <w:r w:rsidR="001642FB" w:rsidRPr="00BE7F1E">
        <w:rPr>
          <w:rFonts w:ascii="PermianSerifTypeface" w:hAnsi="PermianSerifTypeface"/>
          <w:lang w:val="ro-RO"/>
        </w:rPr>
        <w:t xml:space="preserve"> </w:t>
      </w:r>
      <w:r w:rsidR="00F75439" w:rsidRPr="00BE7F1E">
        <w:rPr>
          <w:rFonts w:ascii="PermianSerifTypeface" w:hAnsi="PermianSerifTypeface"/>
          <w:lang w:val="ro-RO"/>
        </w:rPr>
        <w:t xml:space="preserve">cel puțin </w:t>
      </w:r>
      <w:r w:rsidR="001642FB" w:rsidRPr="00BE7F1E">
        <w:rPr>
          <w:rFonts w:ascii="PermianSerifTypeface" w:hAnsi="PermianSerifTypeface"/>
          <w:lang w:val="ro-RO"/>
        </w:rPr>
        <w:t>de două ori mărimea salariului mediu</w:t>
      </w:r>
      <w:r w:rsidR="00176733" w:rsidRPr="00BE7F1E">
        <w:rPr>
          <w:rFonts w:ascii="PermianSerifTypeface" w:hAnsi="PermianSerifTypeface"/>
          <w:lang w:val="ro-RO"/>
        </w:rPr>
        <w:t xml:space="preserve"> lunar</w:t>
      </w:r>
      <w:r w:rsidR="001642FB" w:rsidRPr="00BE7F1E">
        <w:rPr>
          <w:rFonts w:ascii="PermianSerifTypeface" w:hAnsi="PermianSerifTypeface"/>
          <w:lang w:val="ro-RO"/>
        </w:rPr>
        <w:t xml:space="preserve"> pe economie</w:t>
      </w:r>
      <w:r w:rsidR="00EA751B" w:rsidRPr="00BE7F1E">
        <w:rPr>
          <w:rFonts w:ascii="PermianSerifTypeface" w:hAnsi="PermianSerifTypeface"/>
          <w:lang w:val="ro-RO"/>
        </w:rPr>
        <w:t xml:space="preserve"> aprobată de Guvern pentru anul în care se ia decizia de creditare</w:t>
      </w:r>
      <w:r w:rsidRPr="00BE7F1E">
        <w:rPr>
          <w:rFonts w:ascii="PermianSerifTypeface" w:hAnsi="PermianSerifTypeface"/>
          <w:lang w:val="ro-RO"/>
        </w:rPr>
        <w:t>.</w:t>
      </w:r>
      <w:bookmarkEnd w:id="29"/>
      <w:bookmarkEnd w:id="33"/>
      <w:r w:rsidRPr="00BE7F1E">
        <w:rPr>
          <w:rFonts w:ascii="PermianSerifTypeface" w:hAnsi="PermianSerifTypeface"/>
          <w:lang w:val="ro-RO"/>
        </w:rPr>
        <w:t xml:space="preserve"> </w:t>
      </w:r>
    </w:p>
    <w:p w14:paraId="0DB95FA2" w14:textId="6D9648E5" w:rsidR="004A4047" w:rsidRPr="00BE7F1E" w:rsidRDefault="00A94F1C" w:rsidP="00EA6274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PermianSerifTypeface" w:hAnsi="PermianSerifTypeface"/>
          <w:lang w:val="ro-RO"/>
        </w:rPr>
      </w:pPr>
      <w:bookmarkStart w:id="34" w:name="_Ref75940975"/>
      <w:bookmarkEnd w:id="30"/>
      <w:r w:rsidRPr="00BE7F1E">
        <w:rPr>
          <w:rFonts w:ascii="PermianSerifTypeface" w:hAnsi="PermianSerifTypeface"/>
          <w:lang w:val="ro-RO"/>
        </w:rPr>
        <w:t>În cazul și în condițiile specificate la pct</w:t>
      </w:r>
      <w:r w:rsidR="00FA3DA6" w:rsidRPr="00BE7F1E">
        <w:rPr>
          <w:rFonts w:ascii="PermianSerifTypeface" w:hAnsi="PermianSerifTypeface"/>
          <w:lang w:val="ro-RO"/>
        </w:rPr>
        <w:t>.</w:t>
      </w:r>
      <w:r w:rsidR="00687F0E" w:rsidRPr="00BE7F1E">
        <w:rPr>
          <w:rFonts w:ascii="PermianSerifTypeface" w:hAnsi="PermianSerifTypeface"/>
          <w:lang w:val="ro-RO"/>
        </w:rPr>
        <w:fldChar w:fldCharType="begin"/>
      </w:r>
      <w:r w:rsidR="00687F0E" w:rsidRPr="00BE7F1E">
        <w:rPr>
          <w:rFonts w:ascii="PermianSerifTypeface" w:hAnsi="PermianSerifTypeface"/>
          <w:lang w:val="ro-RO"/>
        </w:rPr>
        <w:instrText xml:space="preserve"> REF _Ref75505927 \r \h  \* MERGEFORMAT </w:instrText>
      </w:r>
      <w:r w:rsidR="00687F0E" w:rsidRPr="00BE7F1E">
        <w:rPr>
          <w:rFonts w:ascii="PermianSerifTypeface" w:hAnsi="PermianSerifTypeface"/>
          <w:lang w:val="ro-RO"/>
        </w:rPr>
      </w:r>
      <w:r w:rsidR="00687F0E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29</w:t>
      </w:r>
      <w:r w:rsidR="00687F0E" w:rsidRPr="00BE7F1E">
        <w:rPr>
          <w:rFonts w:ascii="PermianSerifTypeface" w:hAnsi="PermianSerifTypeface"/>
          <w:lang w:val="ro-RO"/>
        </w:rPr>
        <w:fldChar w:fldCharType="end"/>
      </w:r>
      <w:r w:rsidRPr="00BE7F1E">
        <w:rPr>
          <w:rFonts w:ascii="PermianSerifTypeface" w:hAnsi="PermianSerifTypeface"/>
          <w:lang w:val="ro-RO"/>
        </w:rPr>
        <w:t xml:space="preserve">, RSDV al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Pr="00BE7F1E">
        <w:rPr>
          <w:rFonts w:ascii="PermianSerifTypeface" w:hAnsi="PermianSerifTypeface"/>
          <w:lang w:val="ro-RO"/>
        </w:rPr>
        <w:t xml:space="preserve">ului poate depăși temporar valoarea indicată </w:t>
      </w:r>
      <w:r w:rsidR="003E41D5" w:rsidRPr="00BE7F1E">
        <w:rPr>
          <w:rFonts w:ascii="PermianSerifTypeface" w:hAnsi="PermianSerifTypeface"/>
          <w:lang w:val="ro-RO"/>
        </w:rPr>
        <w:t>la pct</w:t>
      </w:r>
      <w:r w:rsidR="00FA3DA6" w:rsidRPr="00BE7F1E">
        <w:rPr>
          <w:rFonts w:ascii="PermianSerifTypeface" w:hAnsi="PermianSerifTypeface"/>
          <w:lang w:val="ro-RO"/>
        </w:rPr>
        <w:t>.</w:t>
      </w:r>
      <w:r w:rsidR="003E41D5" w:rsidRPr="00BE7F1E">
        <w:rPr>
          <w:rFonts w:ascii="PermianSerifTypeface" w:hAnsi="PermianSerifTypeface"/>
          <w:lang w:val="ro-RO"/>
        </w:rPr>
        <w:fldChar w:fldCharType="begin"/>
      </w:r>
      <w:r w:rsidR="003E41D5" w:rsidRPr="00BE7F1E">
        <w:rPr>
          <w:rFonts w:ascii="PermianSerifTypeface" w:hAnsi="PermianSerifTypeface"/>
          <w:lang w:val="ro-RO"/>
        </w:rPr>
        <w:instrText xml:space="preserve"> REF _Ref92185374 \r \h </w:instrText>
      </w:r>
      <w:r w:rsidR="00CE31A5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3E41D5" w:rsidRPr="00BE7F1E">
        <w:rPr>
          <w:rFonts w:ascii="PermianSerifTypeface" w:hAnsi="PermianSerifTypeface"/>
          <w:lang w:val="ro-RO"/>
        </w:rPr>
      </w:r>
      <w:r w:rsidR="003E41D5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35</w:t>
      </w:r>
      <w:r w:rsidR="003E41D5" w:rsidRPr="00BE7F1E">
        <w:rPr>
          <w:rFonts w:ascii="PermianSerifTypeface" w:hAnsi="PermianSerifTypeface"/>
          <w:lang w:val="ro-RO"/>
        </w:rPr>
        <w:fldChar w:fldCharType="end"/>
      </w:r>
      <w:r w:rsidRPr="00BE7F1E">
        <w:rPr>
          <w:rFonts w:ascii="PermianSerifTypeface" w:hAnsi="PermianSerifTypeface"/>
          <w:lang w:val="ro-RO"/>
        </w:rPr>
        <w:t xml:space="preserve">, cu condiția ca creditorul să se asigure că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Pr="00BE7F1E">
        <w:rPr>
          <w:rFonts w:ascii="PermianSerifTypeface" w:hAnsi="PermianSerifTypeface"/>
          <w:lang w:val="ro-RO"/>
        </w:rPr>
        <w:t xml:space="preserve">ul va putea onora toate obligațiile </w:t>
      </w:r>
      <w:r w:rsidR="00B93874" w:rsidRPr="00BE7F1E">
        <w:rPr>
          <w:rFonts w:ascii="PermianSerifTypeface" w:hAnsi="PermianSerifTypeface"/>
          <w:lang w:val="ro-RO"/>
        </w:rPr>
        <w:t>asumate</w:t>
      </w:r>
      <w:r w:rsidRPr="00BE7F1E">
        <w:rPr>
          <w:rFonts w:ascii="PermianSerifTypeface" w:hAnsi="PermianSerifTypeface"/>
          <w:lang w:val="ro-RO"/>
        </w:rPr>
        <w:t>.</w:t>
      </w:r>
      <w:bookmarkEnd w:id="34"/>
    </w:p>
    <w:p w14:paraId="741E7FF0" w14:textId="09667265" w:rsidR="004A4047" w:rsidRPr="00BE7F1E" w:rsidRDefault="004A4047" w:rsidP="00497793">
      <w:pPr>
        <w:spacing w:before="240" w:after="240"/>
        <w:rPr>
          <w:rFonts w:ascii="PermianSerifTypeface" w:eastAsia="Arial Unicode MS" w:hAnsi="PermianSerifTypeface"/>
          <w:b/>
          <w:bCs/>
          <w:i/>
          <w:lang w:val="ro-RO"/>
        </w:rPr>
      </w:pP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Secțiunea </w:t>
      </w:r>
      <w:r w:rsidR="003E75F2" w:rsidRPr="00BE7F1E">
        <w:rPr>
          <w:rFonts w:ascii="PermianSerifTypeface" w:eastAsia="Arial Unicode MS" w:hAnsi="PermianSerifTypeface"/>
          <w:b/>
          <w:bCs/>
          <w:i/>
          <w:lang w:val="ro-RO"/>
        </w:rPr>
        <w:t>5</w:t>
      </w:r>
      <w:r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. </w:t>
      </w:r>
      <w:r w:rsidR="001F2691" w:rsidRPr="00BE7F1E">
        <w:rPr>
          <w:rFonts w:ascii="PermianSerifTypeface" w:eastAsia="Arial Unicode MS" w:hAnsi="PermianSerifTypeface"/>
          <w:b/>
          <w:bCs/>
          <w:i/>
          <w:lang w:val="ro-RO"/>
        </w:rPr>
        <w:t xml:space="preserve">Scadența maximă a </w:t>
      </w:r>
      <w:r w:rsidR="00A94F1C" w:rsidRPr="00BE7F1E">
        <w:rPr>
          <w:rFonts w:ascii="PermianSerifTypeface" w:eastAsia="Arial Unicode MS" w:hAnsi="PermianSerifTypeface"/>
          <w:b/>
          <w:bCs/>
          <w:i/>
          <w:lang w:val="ro-RO"/>
        </w:rPr>
        <w:t>credit</w:t>
      </w:r>
      <w:r w:rsidR="00D51542" w:rsidRPr="00BE7F1E">
        <w:rPr>
          <w:rFonts w:ascii="PermianSerifTypeface" w:eastAsia="Arial Unicode MS" w:hAnsi="PermianSerifTypeface"/>
          <w:b/>
          <w:bCs/>
          <w:i/>
          <w:lang w:val="ro-RO"/>
        </w:rPr>
        <w:t>ului</w:t>
      </w:r>
    </w:p>
    <w:p w14:paraId="63412EF2" w14:textId="7D17CBE9" w:rsidR="00A94F1C" w:rsidRPr="00BE7F1E" w:rsidRDefault="001F2691" w:rsidP="008C0304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PermianSerifTypeface" w:hAnsi="PermianSerifTypeface"/>
          <w:lang w:val="ro-RO"/>
        </w:rPr>
      </w:pPr>
      <w:bookmarkStart w:id="35" w:name="_Ref75939737"/>
      <w:r w:rsidRPr="00BE7F1E">
        <w:rPr>
          <w:rFonts w:ascii="PermianSerifTypeface" w:hAnsi="PermianSerifTypeface"/>
          <w:lang w:val="ro-RO"/>
        </w:rPr>
        <w:t xml:space="preserve">Scadența </w:t>
      </w:r>
      <w:r w:rsidR="00A94F1C" w:rsidRPr="00BE7F1E">
        <w:rPr>
          <w:rFonts w:ascii="PermianSerifTypeface" w:hAnsi="PermianSerifTypeface"/>
          <w:lang w:val="ro-RO"/>
        </w:rPr>
        <w:t xml:space="preserve">maximă a unui credit </w:t>
      </w:r>
      <w:r w:rsidR="00B01FF4" w:rsidRPr="00BE7F1E">
        <w:rPr>
          <w:rFonts w:ascii="PermianSerifTypeface" w:hAnsi="PermianSerifTypeface"/>
          <w:lang w:val="ro-RO"/>
        </w:rPr>
        <w:t>pentru investiții imobiliare</w:t>
      </w:r>
      <w:r w:rsidR="00CA487C" w:rsidRPr="00BE7F1E">
        <w:rPr>
          <w:rFonts w:ascii="PermianSerifTypeface" w:hAnsi="PermianSerifTypeface"/>
          <w:lang w:val="ro-RO"/>
        </w:rPr>
        <w:t xml:space="preserve"> </w:t>
      </w:r>
      <w:r w:rsidR="00A94F1C" w:rsidRPr="00BE7F1E">
        <w:rPr>
          <w:rFonts w:ascii="PermianSerifTypeface" w:hAnsi="PermianSerifTypeface"/>
          <w:lang w:val="ro-RO"/>
        </w:rPr>
        <w:t xml:space="preserve">nu poate depăși </w:t>
      </w:r>
      <w:r w:rsidR="009700C3" w:rsidRPr="00BE7F1E">
        <w:rPr>
          <w:rFonts w:ascii="PermianSerifTypeface" w:hAnsi="PermianSerifTypeface"/>
          <w:lang w:val="ro-RO"/>
        </w:rPr>
        <w:t>30</w:t>
      </w:r>
      <w:r w:rsidR="003E41D5" w:rsidRPr="00BE7F1E">
        <w:rPr>
          <w:rFonts w:ascii="PermianSerifTypeface" w:hAnsi="PermianSerifTypeface"/>
          <w:lang w:val="ro-RO"/>
        </w:rPr>
        <w:t xml:space="preserve"> de ani</w:t>
      </w:r>
      <w:r w:rsidR="00A94F1C" w:rsidRPr="00BE7F1E">
        <w:rPr>
          <w:rFonts w:ascii="PermianSerifTypeface" w:hAnsi="PermianSerifTypeface"/>
          <w:lang w:val="ro-RO"/>
        </w:rPr>
        <w:t>, cu excepția cazului specificat la pct</w:t>
      </w:r>
      <w:r w:rsidR="00463E84" w:rsidRPr="00BE7F1E">
        <w:rPr>
          <w:rFonts w:ascii="PermianSerifTypeface" w:hAnsi="PermianSerifTypeface"/>
          <w:lang w:val="ro-RO"/>
        </w:rPr>
        <w:t>.</w:t>
      </w:r>
      <w:r w:rsidR="009700C3" w:rsidRPr="00BE7F1E">
        <w:rPr>
          <w:rFonts w:ascii="PermianSerifTypeface" w:hAnsi="PermianSerifTypeface"/>
          <w:lang w:val="ro-RO"/>
        </w:rPr>
        <w:fldChar w:fldCharType="begin"/>
      </w:r>
      <w:r w:rsidR="009700C3" w:rsidRPr="00BE7F1E">
        <w:rPr>
          <w:rFonts w:ascii="PermianSerifTypeface" w:hAnsi="PermianSerifTypeface"/>
          <w:lang w:val="ro-RO"/>
        </w:rPr>
        <w:instrText xml:space="preserve"> REF _Ref75939713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9700C3" w:rsidRPr="00BE7F1E">
        <w:rPr>
          <w:rFonts w:ascii="PermianSerifTypeface" w:hAnsi="PermianSerifTypeface"/>
          <w:lang w:val="ro-RO"/>
        </w:rPr>
      </w:r>
      <w:r w:rsidR="009700C3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47</w:t>
      </w:r>
      <w:r w:rsidR="009700C3" w:rsidRPr="00BE7F1E">
        <w:rPr>
          <w:rFonts w:ascii="PermianSerifTypeface" w:hAnsi="PermianSerifTypeface"/>
          <w:lang w:val="ro-RO"/>
        </w:rPr>
        <w:fldChar w:fldCharType="end"/>
      </w:r>
      <w:r w:rsidR="00A94F1C" w:rsidRPr="00BE7F1E">
        <w:rPr>
          <w:rFonts w:ascii="PermianSerifTypeface" w:hAnsi="PermianSerifTypeface"/>
          <w:lang w:val="ro-RO"/>
        </w:rPr>
        <w:t>.</w:t>
      </w:r>
      <w:bookmarkEnd w:id="35"/>
    </w:p>
    <w:p w14:paraId="77AF9C99" w14:textId="65099896" w:rsidR="00650EFA" w:rsidRPr="00BE7F1E" w:rsidRDefault="001F2691" w:rsidP="008C0304">
      <w:pPr>
        <w:numPr>
          <w:ilvl w:val="0"/>
          <w:numId w:val="4"/>
        </w:numPr>
        <w:tabs>
          <w:tab w:val="left" w:pos="426"/>
        </w:tabs>
        <w:rPr>
          <w:rFonts w:ascii="PermianSerifTypeface" w:hAnsi="PermianSerifTypeface"/>
          <w:lang w:val="ro-RO"/>
        </w:rPr>
      </w:pPr>
      <w:bookmarkStart w:id="36" w:name="_Ref83652231"/>
      <w:r w:rsidRPr="00BE7F1E">
        <w:rPr>
          <w:rFonts w:ascii="PermianSerifTypeface" w:hAnsi="PermianSerifTypeface"/>
          <w:lang w:val="ro-RO"/>
        </w:rPr>
        <w:t xml:space="preserve">Scadența </w:t>
      </w:r>
      <w:r w:rsidR="00B07CD8" w:rsidRPr="00BE7F1E">
        <w:rPr>
          <w:rFonts w:ascii="PermianSerifTypeface" w:hAnsi="PermianSerifTypeface"/>
          <w:lang w:val="ro-RO"/>
        </w:rPr>
        <w:t xml:space="preserve">maximă a unui credit de consum nu poate depăși </w:t>
      </w:r>
      <w:r w:rsidR="003E41D5" w:rsidRPr="00BE7F1E">
        <w:rPr>
          <w:rFonts w:ascii="PermianSerifTypeface" w:hAnsi="PermianSerifTypeface"/>
          <w:lang w:val="ro-RO"/>
        </w:rPr>
        <w:t>5 ani</w:t>
      </w:r>
      <w:r w:rsidR="00172295" w:rsidRPr="00BE7F1E">
        <w:rPr>
          <w:rFonts w:ascii="PermianSerifTypeface" w:hAnsi="PermianSerifTypeface"/>
          <w:lang w:val="ro-RO"/>
        </w:rPr>
        <w:t>, cu excepția cazu</w:t>
      </w:r>
      <w:r w:rsidR="009700C3" w:rsidRPr="00BE7F1E">
        <w:rPr>
          <w:rFonts w:ascii="PermianSerifTypeface" w:hAnsi="PermianSerifTypeface"/>
          <w:lang w:val="ro-RO"/>
        </w:rPr>
        <w:t>rilor</w:t>
      </w:r>
      <w:r w:rsidR="00172295" w:rsidRPr="00BE7F1E">
        <w:rPr>
          <w:rFonts w:ascii="PermianSerifTypeface" w:hAnsi="PermianSerifTypeface"/>
          <w:lang w:val="ro-RO"/>
        </w:rPr>
        <w:t xml:space="preserve"> specificat</w:t>
      </w:r>
      <w:r w:rsidR="009700C3" w:rsidRPr="00BE7F1E">
        <w:rPr>
          <w:rFonts w:ascii="PermianSerifTypeface" w:hAnsi="PermianSerifTypeface"/>
          <w:lang w:val="ro-RO"/>
        </w:rPr>
        <w:t>e</w:t>
      </w:r>
      <w:r w:rsidR="00172295" w:rsidRPr="00BE7F1E">
        <w:rPr>
          <w:rFonts w:ascii="PermianSerifTypeface" w:hAnsi="PermianSerifTypeface"/>
          <w:lang w:val="ro-RO"/>
        </w:rPr>
        <w:t xml:space="preserve"> la pct</w:t>
      </w:r>
      <w:r w:rsidR="00463E84" w:rsidRPr="00BE7F1E">
        <w:rPr>
          <w:rFonts w:ascii="PermianSerifTypeface" w:hAnsi="PermianSerifTypeface"/>
          <w:lang w:val="ro-RO"/>
        </w:rPr>
        <w:t>.</w:t>
      </w:r>
      <w:r w:rsidR="009700C3" w:rsidRPr="00BE7F1E">
        <w:rPr>
          <w:rFonts w:ascii="PermianSerifTypeface" w:hAnsi="PermianSerifTypeface"/>
          <w:lang w:val="ro-RO"/>
        </w:rPr>
        <w:fldChar w:fldCharType="begin"/>
      </w:r>
      <w:r w:rsidR="009700C3" w:rsidRPr="00BE7F1E">
        <w:rPr>
          <w:rFonts w:ascii="PermianSerifTypeface" w:hAnsi="PermianSerifTypeface"/>
          <w:lang w:val="ro-RO"/>
        </w:rPr>
        <w:instrText xml:space="preserve"> REF _Ref75939713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9700C3" w:rsidRPr="00BE7F1E">
        <w:rPr>
          <w:rFonts w:ascii="PermianSerifTypeface" w:hAnsi="PermianSerifTypeface"/>
          <w:lang w:val="ro-RO"/>
        </w:rPr>
      </w:r>
      <w:r w:rsidR="009700C3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47</w:t>
      </w:r>
      <w:r w:rsidR="009700C3" w:rsidRPr="00BE7F1E">
        <w:rPr>
          <w:rFonts w:ascii="PermianSerifTypeface" w:hAnsi="PermianSerifTypeface"/>
          <w:lang w:val="ro-RO"/>
        </w:rPr>
        <w:fldChar w:fldCharType="end"/>
      </w:r>
      <w:r w:rsidR="009700C3" w:rsidRPr="00BE7F1E">
        <w:rPr>
          <w:rFonts w:ascii="PermianSerifTypeface" w:hAnsi="PermianSerifTypeface"/>
          <w:lang w:val="ro-RO"/>
        </w:rPr>
        <w:t xml:space="preserve"> și</w:t>
      </w:r>
      <w:r w:rsidR="0000741F" w:rsidRPr="00BE7F1E">
        <w:rPr>
          <w:rFonts w:ascii="PermianSerifTypeface" w:hAnsi="PermianSerifTypeface"/>
          <w:lang w:val="ro-RO"/>
        </w:rPr>
        <w:t xml:space="preserve"> pct.</w:t>
      </w:r>
      <w:r w:rsidR="00172295" w:rsidRPr="00BE7F1E">
        <w:rPr>
          <w:rFonts w:ascii="PermianSerifTypeface" w:hAnsi="PermianSerifTypeface"/>
          <w:lang w:val="ro-RO"/>
        </w:rPr>
        <w:fldChar w:fldCharType="begin"/>
      </w:r>
      <w:r w:rsidR="00172295" w:rsidRPr="00BE7F1E">
        <w:rPr>
          <w:rFonts w:ascii="PermianSerifTypeface" w:hAnsi="PermianSerifTypeface"/>
          <w:lang w:val="ro-RO"/>
        </w:rPr>
        <w:instrText xml:space="preserve"> REF _Ref83652409 \r \h </w:instrText>
      </w:r>
      <w:r w:rsidR="00B140F8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172295" w:rsidRPr="00BE7F1E">
        <w:rPr>
          <w:rFonts w:ascii="PermianSerifTypeface" w:hAnsi="PermianSerifTypeface"/>
          <w:lang w:val="ro-RO"/>
        </w:rPr>
      </w:r>
      <w:r w:rsidR="00172295" w:rsidRPr="00BE7F1E">
        <w:rPr>
          <w:rFonts w:ascii="PermianSerifTypeface" w:hAnsi="PermianSerifTypeface"/>
          <w:lang w:val="ro-RO"/>
        </w:rPr>
        <w:fldChar w:fldCharType="separate"/>
      </w:r>
      <w:r w:rsidR="006E2D07" w:rsidRPr="00BE7F1E">
        <w:rPr>
          <w:rFonts w:ascii="PermianSerifTypeface" w:hAnsi="PermianSerifTypeface"/>
          <w:lang w:val="ro-RO"/>
        </w:rPr>
        <w:t>48</w:t>
      </w:r>
      <w:r w:rsidR="00172295" w:rsidRPr="00BE7F1E">
        <w:rPr>
          <w:rFonts w:ascii="PermianSerifTypeface" w:hAnsi="PermianSerifTypeface"/>
          <w:lang w:val="ro-RO"/>
        </w:rPr>
        <w:fldChar w:fldCharType="end"/>
      </w:r>
      <w:r w:rsidR="00B07CD8" w:rsidRPr="00BE7F1E">
        <w:rPr>
          <w:rFonts w:ascii="PermianSerifTypeface" w:hAnsi="PermianSerifTypeface"/>
          <w:lang w:val="ro-RO"/>
        </w:rPr>
        <w:t>.</w:t>
      </w:r>
      <w:bookmarkEnd w:id="36"/>
      <w:r w:rsidR="00650EFA" w:rsidRPr="00BE7F1E">
        <w:rPr>
          <w:rFonts w:ascii="PermianSerifTypeface" w:hAnsi="PermianSerifTypeface"/>
          <w:lang w:val="ro-RO"/>
        </w:rPr>
        <w:t xml:space="preserve"> </w:t>
      </w:r>
    </w:p>
    <w:p w14:paraId="0F4BAD0E" w14:textId="3B3C7A92" w:rsidR="00B07CD8" w:rsidRPr="00BE7F1E" w:rsidRDefault="00650EFA" w:rsidP="008C0304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>Scadența maximă a unui contract de leasing financiar nu poate depăși 7 ani.</w:t>
      </w:r>
    </w:p>
    <w:p w14:paraId="56B2E788" w14:textId="74D739D2" w:rsidR="00A94F1C" w:rsidRPr="00BE7F1E" w:rsidRDefault="001F2691" w:rsidP="008C0304">
      <w:pPr>
        <w:numPr>
          <w:ilvl w:val="0"/>
          <w:numId w:val="4"/>
        </w:numPr>
        <w:tabs>
          <w:tab w:val="left" w:pos="426"/>
        </w:tabs>
        <w:rPr>
          <w:rFonts w:ascii="PermianSerifTypeface" w:hAnsi="PermianSerifTypeface"/>
          <w:lang w:val="ro-RO"/>
        </w:rPr>
      </w:pPr>
      <w:bookmarkStart w:id="37" w:name="_Ref75939713"/>
      <w:r w:rsidRPr="00BE7F1E">
        <w:rPr>
          <w:rFonts w:ascii="PermianSerifTypeface" w:hAnsi="PermianSerifTypeface"/>
          <w:lang w:val="ro-RO"/>
        </w:rPr>
        <w:t xml:space="preserve">Scadența maximă a </w:t>
      </w:r>
      <w:r w:rsidR="00A94F1C" w:rsidRPr="00BE7F1E">
        <w:rPr>
          <w:rFonts w:ascii="PermianSerifTypeface" w:hAnsi="PermianSerifTypeface"/>
          <w:lang w:val="ro-RO"/>
        </w:rPr>
        <w:t xml:space="preserve">unui credit care vizează refinanțarea creditului acordat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="00A94F1C" w:rsidRPr="00BE7F1E">
        <w:rPr>
          <w:rFonts w:ascii="PermianSerifTypeface" w:hAnsi="PermianSerifTypeface"/>
          <w:lang w:val="ro-RO"/>
        </w:rPr>
        <w:t xml:space="preserve">ului poate depăși </w:t>
      </w:r>
      <w:r w:rsidR="00CA487C" w:rsidRPr="00BE7F1E">
        <w:rPr>
          <w:rFonts w:ascii="PermianSerifTypeface" w:hAnsi="PermianSerifTypeface"/>
          <w:lang w:val="ro-RO"/>
        </w:rPr>
        <w:t>perioada</w:t>
      </w:r>
      <w:r w:rsidR="00A94F1C" w:rsidRPr="00BE7F1E">
        <w:rPr>
          <w:rFonts w:ascii="PermianSerifTypeface" w:hAnsi="PermianSerifTypeface"/>
          <w:lang w:val="ro-RO"/>
        </w:rPr>
        <w:t xml:space="preserve"> indicată </w:t>
      </w:r>
      <w:r w:rsidR="003E41D5" w:rsidRPr="00BE7F1E">
        <w:rPr>
          <w:rFonts w:ascii="PermianSerifTypeface" w:hAnsi="PermianSerifTypeface"/>
          <w:lang w:val="ro-RO"/>
        </w:rPr>
        <w:t>la pct</w:t>
      </w:r>
      <w:r w:rsidR="005E588D" w:rsidRPr="00BE7F1E">
        <w:rPr>
          <w:rFonts w:ascii="PermianSerifTypeface" w:hAnsi="PermianSerifTypeface"/>
          <w:lang w:val="ro-RO"/>
        </w:rPr>
        <w:t>.</w:t>
      </w:r>
      <w:r w:rsidR="00780AA4" w:rsidRPr="00BE7F1E">
        <w:rPr>
          <w:rFonts w:ascii="PermianSerifTypeface" w:hAnsi="PermianSerifTypeface"/>
          <w:lang w:val="ro-RO"/>
        </w:rPr>
        <w:fldChar w:fldCharType="begin"/>
      </w:r>
      <w:r w:rsidR="00780AA4" w:rsidRPr="00BE7F1E">
        <w:rPr>
          <w:rFonts w:ascii="PermianSerifTypeface" w:hAnsi="PermianSerifTypeface"/>
          <w:lang w:val="ro-RO"/>
        </w:rPr>
        <w:instrText xml:space="preserve"> REF _Ref75939737 \r \h </w:instrText>
      </w:r>
      <w:r w:rsidR="00EA6274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780AA4" w:rsidRPr="00BE7F1E">
        <w:rPr>
          <w:rFonts w:ascii="PermianSerifTypeface" w:hAnsi="PermianSerifTypeface"/>
          <w:lang w:val="ro-RO"/>
        </w:rPr>
      </w:r>
      <w:r w:rsidR="00780AA4" w:rsidRPr="00BE7F1E">
        <w:rPr>
          <w:rFonts w:ascii="PermianSerifTypeface" w:hAnsi="PermianSerifTypeface"/>
          <w:lang w:val="ro-RO"/>
        </w:rPr>
        <w:fldChar w:fldCharType="separate"/>
      </w:r>
      <w:r w:rsidR="0053661A" w:rsidRPr="00BE7F1E">
        <w:rPr>
          <w:rFonts w:ascii="PermianSerifTypeface" w:hAnsi="PermianSerifTypeface"/>
          <w:lang w:val="ro-RO"/>
        </w:rPr>
        <w:t>44</w:t>
      </w:r>
      <w:r w:rsidR="00780AA4" w:rsidRPr="00BE7F1E">
        <w:rPr>
          <w:rFonts w:ascii="PermianSerifTypeface" w:hAnsi="PermianSerifTypeface"/>
          <w:lang w:val="ro-RO"/>
        </w:rPr>
        <w:fldChar w:fldCharType="end"/>
      </w:r>
      <w:r w:rsidR="00780AA4" w:rsidRPr="00BE7F1E">
        <w:rPr>
          <w:rFonts w:ascii="PermianSerifTypeface" w:hAnsi="PermianSerifTypeface"/>
          <w:lang w:val="ro-RO"/>
        </w:rPr>
        <w:t xml:space="preserve"> </w:t>
      </w:r>
      <w:r w:rsidR="003E41D5" w:rsidRPr="00BE7F1E">
        <w:rPr>
          <w:rFonts w:ascii="PermianSerifTypeface" w:hAnsi="PermianSerifTypeface"/>
          <w:lang w:val="ro-RO"/>
        </w:rPr>
        <w:t>sau</w:t>
      </w:r>
      <w:r w:rsidR="0000741F" w:rsidRPr="00BE7F1E">
        <w:rPr>
          <w:rFonts w:ascii="PermianSerifTypeface" w:hAnsi="PermianSerifTypeface"/>
          <w:lang w:val="ro-RO"/>
        </w:rPr>
        <w:t xml:space="preserve"> pct.</w:t>
      </w:r>
      <w:r w:rsidR="00780AA4" w:rsidRPr="00BE7F1E">
        <w:rPr>
          <w:rFonts w:ascii="PermianSerifTypeface" w:hAnsi="PermianSerifTypeface"/>
          <w:lang w:val="ro-RO"/>
        </w:rPr>
        <w:fldChar w:fldCharType="begin"/>
      </w:r>
      <w:r w:rsidR="00780AA4" w:rsidRPr="00BE7F1E">
        <w:rPr>
          <w:rFonts w:ascii="PermianSerifTypeface" w:hAnsi="PermianSerifTypeface"/>
          <w:lang w:val="ro-RO"/>
        </w:rPr>
        <w:instrText xml:space="preserve"> REF _Ref83652231 \r \h  \* MERGEFORMAT </w:instrText>
      </w:r>
      <w:r w:rsidR="00780AA4" w:rsidRPr="00BE7F1E">
        <w:rPr>
          <w:rFonts w:ascii="PermianSerifTypeface" w:hAnsi="PermianSerifTypeface"/>
          <w:lang w:val="ro-RO"/>
        </w:rPr>
      </w:r>
      <w:r w:rsidR="00780AA4" w:rsidRPr="00BE7F1E">
        <w:rPr>
          <w:rFonts w:ascii="PermianSerifTypeface" w:hAnsi="PermianSerifTypeface"/>
          <w:lang w:val="ro-RO"/>
        </w:rPr>
        <w:fldChar w:fldCharType="separate"/>
      </w:r>
      <w:r w:rsidR="0053661A" w:rsidRPr="00BE7F1E">
        <w:rPr>
          <w:rFonts w:ascii="PermianSerifTypeface" w:hAnsi="PermianSerifTypeface"/>
          <w:lang w:val="ro-RO"/>
        </w:rPr>
        <w:t>45</w:t>
      </w:r>
      <w:r w:rsidR="00780AA4" w:rsidRPr="00BE7F1E">
        <w:rPr>
          <w:rFonts w:ascii="PermianSerifTypeface" w:hAnsi="PermianSerifTypeface"/>
          <w:lang w:val="ro-RO"/>
        </w:rPr>
        <w:fldChar w:fldCharType="end"/>
      </w:r>
      <w:r w:rsidR="00A94F1C" w:rsidRPr="00BE7F1E">
        <w:rPr>
          <w:rFonts w:ascii="PermianSerifTypeface" w:hAnsi="PermianSerifTypeface"/>
          <w:lang w:val="ro-RO"/>
        </w:rPr>
        <w:t xml:space="preserve">, cu condiția îndeplinirii </w:t>
      </w:r>
      <w:r w:rsidR="00CA487C" w:rsidRPr="00BE7F1E">
        <w:rPr>
          <w:rFonts w:ascii="PermianSerifTypeface" w:hAnsi="PermianSerifTypeface"/>
          <w:lang w:val="ro-RO"/>
        </w:rPr>
        <w:t xml:space="preserve">concomitente </w:t>
      </w:r>
      <w:r w:rsidR="00B07CD8" w:rsidRPr="00BE7F1E">
        <w:rPr>
          <w:rFonts w:ascii="PermianSerifTypeface" w:hAnsi="PermianSerifTypeface"/>
          <w:lang w:val="ro-RO"/>
        </w:rPr>
        <w:t xml:space="preserve">a </w:t>
      </w:r>
      <w:r w:rsidR="00A94F1C" w:rsidRPr="00BE7F1E">
        <w:rPr>
          <w:rFonts w:ascii="PermianSerifTypeface" w:hAnsi="PermianSerifTypeface"/>
          <w:lang w:val="ro-RO"/>
        </w:rPr>
        <w:t>următoarelor c</w:t>
      </w:r>
      <w:r w:rsidR="00CA487C" w:rsidRPr="00BE7F1E">
        <w:rPr>
          <w:rFonts w:ascii="PermianSerifTypeface" w:hAnsi="PermianSerifTypeface"/>
          <w:lang w:val="ro-RO"/>
        </w:rPr>
        <w:t>erințe</w:t>
      </w:r>
      <w:r w:rsidR="00A94F1C" w:rsidRPr="00BE7F1E">
        <w:rPr>
          <w:rFonts w:ascii="PermianSerifTypeface" w:hAnsi="PermianSerifTypeface"/>
          <w:lang w:val="ro-RO"/>
        </w:rPr>
        <w:t>:</w:t>
      </w:r>
      <w:bookmarkEnd w:id="37"/>
    </w:p>
    <w:p w14:paraId="286942A5" w14:textId="7E077967" w:rsidR="00A94F1C" w:rsidRPr="00BE7F1E" w:rsidRDefault="00A94F1C" w:rsidP="00497793">
      <w:pPr>
        <w:numPr>
          <w:ilvl w:val="1"/>
          <w:numId w:val="34"/>
        </w:numPr>
        <w:ind w:left="851" w:hanging="425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soldul rămas al creditului </w:t>
      </w:r>
      <w:r w:rsidR="001F2691" w:rsidRPr="00BE7F1E">
        <w:rPr>
          <w:rFonts w:ascii="PermianSerifTypeface" w:hAnsi="PermianSerifTypeface"/>
          <w:lang w:val="ro-RO"/>
        </w:rPr>
        <w:t xml:space="preserve">refinanțat </w:t>
      </w:r>
      <w:r w:rsidRPr="00BE7F1E">
        <w:rPr>
          <w:rFonts w:ascii="PermianSerifTypeface" w:hAnsi="PermianSerifTypeface"/>
          <w:lang w:val="ro-RO"/>
        </w:rPr>
        <w:t xml:space="preserve">nu crește </w:t>
      </w:r>
      <w:r w:rsidR="005C3EA9" w:rsidRPr="00BE7F1E">
        <w:rPr>
          <w:rFonts w:ascii="PermianSerifTypeface" w:hAnsi="PermianSerifTypeface"/>
          <w:lang w:val="ro-RO"/>
        </w:rPr>
        <w:t xml:space="preserve">ca </w:t>
      </w:r>
      <w:r w:rsidRPr="00BE7F1E">
        <w:rPr>
          <w:rFonts w:ascii="PermianSerifTypeface" w:hAnsi="PermianSerifTypeface"/>
          <w:lang w:val="ro-RO"/>
        </w:rPr>
        <w:t>urmare a refinanțării;</w:t>
      </w:r>
    </w:p>
    <w:p w14:paraId="692E7F8B" w14:textId="55F1DAF7" w:rsidR="00A94F1C" w:rsidRPr="00BE7F1E" w:rsidRDefault="00000D69" w:rsidP="00497793">
      <w:pPr>
        <w:numPr>
          <w:ilvl w:val="1"/>
          <w:numId w:val="34"/>
        </w:numPr>
        <w:ind w:left="851" w:hanging="425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bunul </w:t>
      </w:r>
      <w:r w:rsidR="00A94F1C" w:rsidRPr="00BE7F1E">
        <w:rPr>
          <w:rFonts w:ascii="PermianSerifTypeface" w:hAnsi="PermianSerifTypeface"/>
          <w:lang w:val="ro-RO"/>
        </w:rPr>
        <w:t xml:space="preserve">gajat rămâne neschimbat sau </w:t>
      </w:r>
      <w:r w:rsidR="00B93874" w:rsidRPr="00BE7F1E">
        <w:rPr>
          <w:rFonts w:ascii="PermianSerifTypeface" w:hAnsi="PermianSerifTypeface"/>
          <w:lang w:val="ro-RO"/>
        </w:rPr>
        <w:t xml:space="preserve">bunuri </w:t>
      </w:r>
      <w:r w:rsidR="00A94F1C" w:rsidRPr="00BE7F1E">
        <w:rPr>
          <w:rFonts w:ascii="PermianSerifTypeface" w:hAnsi="PermianSerifTypeface"/>
          <w:lang w:val="ro-RO"/>
        </w:rPr>
        <w:t xml:space="preserve">suplimentare sunt </w:t>
      </w:r>
      <w:r w:rsidR="001F2691" w:rsidRPr="00BE7F1E">
        <w:rPr>
          <w:rFonts w:ascii="PermianSerifTypeface" w:hAnsi="PermianSerifTypeface"/>
          <w:lang w:val="ro-RO"/>
        </w:rPr>
        <w:t>gajate</w:t>
      </w:r>
      <w:r w:rsidR="00711D30" w:rsidRPr="00BE7F1E">
        <w:rPr>
          <w:rFonts w:ascii="PermianSerifTypeface" w:hAnsi="PermianSerifTypeface"/>
          <w:lang w:val="ro-RO"/>
        </w:rPr>
        <w:t xml:space="preserve">, în cazul contractelor de credit cu </w:t>
      </w:r>
      <w:r w:rsidR="001F2691" w:rsidRPr="00BE7F1E">
        <w:rPr>
          <w:rFonts w:ascii="PermianSerifTypeface" w:hAnsi="PermianSerifTypeface"/>
          <w:lang w:val="ro-RO"/>
        </w:rPr>
        <w:t>gaj</w:t>
      </w:r>
      <w:r w:rsidR="00A94F1C" w:rsidRPr="00BE7F1E">
        <w:rPr>
          <w:rFonts w:ascii="PermianSerifTypeface" w:hAnsi="PermianSerifTypeface"/>
          <w:lang w:val="ro-RO"/>
        </w:rPr>
        <w:t>;</w:t>
      </w:r>
    </w:p>
    <w:p w14:paraId="275C1A9A" w14:textId="3134FF07" w:rsidR="004A4047" w:rsidRPr="00BE7F1E" w:rsidRDefault="007E541D" w:rsidP="00497793">
      <w:pPr>
        <w:numPr>
          <w:ilvl w:val="1"/>
          <w:numId w:val="34"/>
        </w:numPr>
        <w:ind w:left="851" w:hanging="425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lang w:val="ro-RO"/>
        </w:rPr>
        <w:t xml:space="preserve">scadența </w:t>
      </w:r>
      <w:r w:rsidR="00A94F1C" w:rsidRPr="00BE7F1E">
        <w:rPr>
          <w:rFonts w:ascii="PermianSerifTypeface" w:hAnsi="PermianSerifTypeface"/>
          <w:lang w:val="ro-RO"/>
        </w:rPr>
        <w:t xml:space="preserve">stabilită în contractul de credit nu depășește </w:t>
      </w:r>
      <w:r w:rsidRPr="00BE7F1E">
        <w:rPr>
          <w:rFonts w:ascii="PermianSerifTypeface" w:hAnsi="PermianSerifTypeface"/>
          <w:lang w:val="ro-RO"/>
        </w:rPr>
        <w:t xml:space="preserve">scadența </w:t>
      </w:r>
      <w:r w:rsidR="00A94F1C" w:rsidRPr="00BE7F1E">
        <w:rPr>
          <w:rFonts w:ascii="PermianSerifTypeface" w:hAnsi="PermianSerifTypeface"/>
          <w:lang w:val="ro-RO"/>
        </w:rPr>
        <w:t>rămasă a contractului de credit supus refinanțării.</w:t>
      </w:r>
    </w:p>
    <w:p w14:paraId="04821BE0" w14:textId="73CD0F2A" w:rsidR="00172295" w:rsidRPr="00BE7F1E" w:rsidRDefault="00172295" w:rsidP="008C0304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PermianSerifTypeface" w:hAnsi="PermianSerifTypeface"/>
          <w:lang w:val="ro-RO"/>
        </w:rPr>
      </w:pPr>
      <w:bookmarkStart w:id="38" w:name="_Ref83652409"/>
      <w:r w:rsidRPr="00BE7F1E">
        <w:rPr>
          <w:rFonts w:ascii="PermianSerifTypeface" w:hAnsi="PermianSerifTypeface"/>
          <w:lang w:val="ro-RO"/>
        </w:rPr>
        <w:t>Prin derogare de la dispozițiile pct</w:t>
      </w:r>
      <w:r w:rsidR="005E588D" w:rsidRPr="00BE7F1E">
        <w:rPr>
          <w:rFonts w:ascii="PermianSerifTypeface" w:hAnsi="PermianSerifTypeface"/>
          <w:lang w:val="ro-RO"/>
        </w:rPr>
        <w:t>.</w:t>
      </w:r>
      <w:r w:rsidRPr="00BE7F1E">
        <w:rPr>
          <w:rFonts w:ascii="PermianSerifTypeface" w:hAnsi="PermianSerifTypeface"/>
          <w:lang w:val="ro-RO"/>
        </w:rPr>
        <w:fldChar w:fldCharType="begin"/>
      </w:r>
      <w:r w:rsidRPr="00BE7F1E">
        <w:rPr>
          <w:rFonts w:ascii="PermianSerifTypeface" w:hAnsi="PermianSerifTypeface"/>
          <w:lang w:val="ro-RO"/>
        </w:rPr>
        <w:instrText xml:space="preserve"> REF _Ref83652231 \r \h </w:instrText>
      </w:r>
      <w:r w:rsidR="00B140F8" w:rsidRPr="00BE7F1E">
        <w:rPr>
          <w:rFonts w:ascii="PermianSerifTypeface" w:hAnsi="PermianSerifTypeface"/>
          <w:lang w:val="ro-RO"/>
        </w:rPr>
        <w:instrText xml:space="preserve"> \* MERGEFORMAT </w:instrText>
      </w:r>
      <w:r w:rsidRPr="00BE7F1E">
        <w:rPr>
          <w:rFonts w:ascii="PermianSerifTypeface" w:hAnsi="PermianSerifTypeface"/>
          <w:lang w:val="ro-RO"/>
        </w:rPr>
      </w:r>
      <w:r w:rsidRPr="00BE7F1E">
        <w:rPr>
          <w:rFonts w:ascii="PermianSerifTypeface" w:hAnsi="PermianSerifTypeface"/>
          <w:lang w:val="ro-RO"/>
        </w:rPr>
        <w:fldChar w:fldCharType="separate"/>
      </w:r>
      <w:r w:rsidR="0053661A" w:rsidRPr="00BE7F1E">
        <w:rPr>
          <w:rFonts w:ascii="PermianSerifTypeface" w:hAnsi="PermianSerifTypeface"/>
          <w:lang w:val="ro-RO"/>
        </w:rPr>
        <w:t>45</w:t>
      </w:r>
      <w:r w:rsidRPr="00BE7F1E">
        <w:rPr>
          <w:rFonts w:ascii="PermianSerifTypeface" w:hAnsi="PermianSerifTypeface"/>
          <w:lang w:val="ro-RO"/>
        </w:rPr>
        <w:fldChar w:fldCharType="end"/>
      </w:r>
      <w:r w:rsidRPr="00BE7F1E">
        <w:rPr>
          <w:rFonts w:ascii="PermianSerifTypeface" w:hAnsi="PermianSerifTypeface"/>
          <w:lang w:val="ro-RO"/>
        </w:rPr>
        <w:t>, este permisă prelungirea</w:t>
      </w:r>
      <w:r w:rsidR="005E588D" w:rsidRPr="00BE7F1E">
        <w:rPr>
          <w:rFonts w:ascii="PermianSerifTypeface" w:hAnsi="PermianSerifTypeface"/>
          <w:lang w:val="ro-RO"/>
        </w:rPr>
        <w:t xml:space="preserve"> peste scadența maximă stabilită la pct.</w:t>
      </w:r>
      <w:r w:rsidR="005E588D" w:rsidRPr="00BE7F1E">
        <w:rPr>
          <w:rFonts w:ascii="PermianSerifTypeface" w:hAnsi="PermianSerifTypeface"/>
          <w:lang w:val="ro-RO"/>
        </w:rPr>
        <w:fldChar w:fldCharType="begin"/>
      </w:r>
      <w:r w:rsidR="005E588D" w:rsidRPr="00BE7F1E">
        <w:rPr>
          <w:rFonts w:ascii="PermianSerifTypeface" w:hAnsi="PermianSerifTypeface"/>
          <w:lang w:val="ro-RO"/>
        </w:rPr>
        <w:instrText xml:space="preserve"> REF _Ref83652231 \r \h  \* MERGEFORMAT </w:instrText>
      </w:r>
      <w:r w:rsidR="005E588D" w:rsidRPr="00BE7F1E">
        <w:rPr>
          <w:rFonts w:ascii="PermianSerifTypeface" w:hAnsi="PermianSerifTypeface"/>
          <w:lang w:val="ro-RO"/>
        </w:rPr>
      </w:r>
      <w:r w:rsidR="005E588D" w:rsidRPr="00BE7F1E">
        <w:rPr>
          <w:rFonts w:ascii="PermianSerifTypeface" w:hAnsi="PermianSerifTypeface"/>
          <w:lang w:val="ro-RO"/>
        </w:rPr>
        <w:fldChar w:fldCharType="separate"/>
      </w:r>
      <w:r w:rsidR="0053661A" w:rsidRPr="00BE7F1E">
        <w:rPr>
          <w:rFonts w:ascii="PermianSerifTypeface" w:hAnsi="PermianSerifTypeface"/>
          <w:lang w:val="ro-RO"/>
        </w:rPr>
        <w:t>45</w:t>
      </w:r>
      <w:r w:rsidR="005E588D" w:rsidRPr="00BE7F1E">
        <w:rPr>
          <w:rFonts w:ascii="PermianSerifTypeface" w:hAnsi="PermianSerifTypeface"/>
          <w:lang w:val="ro-RO"/>
        </w:rPr>
        <w:fldChar w:fldCharType="end"/>
      </w:r>
      <w:r w:rsidR="005E588D" w:rsidRPr="00BE7F1E">
        <w:rPr>
          <w:rFonts w:ascii="PermianSerifTypeface" w:hAnsi="PermianSerifTypeface"/>
          <w:lang w:val="ro-RO"/>
        </w:rPr>
        <w:t xml:space="preserve"> a</w:t>
      </w:r>
      <w:r w:rsidRPr="00BE7F1E">
        <w:rPr>
          <w:rFonts w:ascii="PermianSerifTypeface" w:hAnsi="PermianSerifTypeface"/>
          <w:lang w:val="ro-RO"/>
        </w:rPr>
        <w:t xml:space="preserve"> facilităților de cred</w:t>
      </w:r>
      <w:r w:rsidR="00CA1EE7" w:rsidRPr="00BE7F1E">
        <w:rPr>
          <w:rFonts w:ascii="PermianSerifTypeface" w:hAnsi="PermianSerifTypeface"/>
          <w:lang w:val="ro-RO"/>
        </w:rPr>
        <w:t xml:space="preserve">itare de tip </w:t>
      </w:r>
      <w:proofErr w:type="spellStart"/>
      <w:r w:rsidR="00CA1EE7" w:rsidRPr="00BE7F1E">
        <w:rPr>
          <w:rFonts w:ascii="PermianSerifTypeface" w:hAnsi="PermianSerifTypeface"/>
          <w:lang w:val="ro-RO"/>
        </w:rPr>
        <w:t>revolving</w:t>
      </w:r>
      <w:proofErr w:type="spellEnd"/>
      <w:r w:rsidR="00CA1EE7" w:rsidRPr="00BE7F1E">
        <w:rPr>
          <w:rFonts w:ascii="PermianSerifTypeface" w:hAnsi="PermianSerifTypeface"/>
          <w:lang w:val="ro-RO"/>
        </w:rPr>
        <w:t xml:space="preserve"> acordate</w:t>
      </w:r>
      <w:r w:rsidRPr="00BE7F1E">
        <w:rPr>
          <w:rFonts w:ascii="PermianSerifTypeface" w:hAnsi="PermianSerifTypeface"/>
          <w:lang w:val="ro-RO"/>
        </w:rPr>
        <w:t xml:space="preserve">, cu condiția ca </w:t>
      </w:r>
      <w:r w:rsidR="00050675" w:rsidRPr="00BE7F1E">
        <w:rPr>
          <w:rFonts w:ascii="PermianSerifTypeface" w:hAnsi="PermianSerifTypeface"/>
          <w:lang w:val="ro-RO"/>
        </w:rPr>
        <w:t>creditorul</w:t>
      </w:r>
      <w:r w:rsidRPr="00BE7F1E">
        <w:rPr>
          <w:rFonts w:ascii="PermianSerifTypeface" w:hAnsi="PermianSerifTypeface"/>
          <w:lang w:val="ro-RO"/>
        </w:rPr>
        <w:t xml:space="preserve"> să reevalueze </w:t>
      </w:r>
      <w:r w:rsidR="00D67D39" w:rsidRPr="00BE7F1E">
        <w:rPr>
          <w:rFonts w:ascii="PermianSerifTypeface" w:hAnsi="PermianSerifTypeface"/>
          <w:lang w:val="ro-RO"/>
        </w:rPr>
        <w:t xml:space="preserve">RSDV a </w:t>
      </w:r>
      <w:r w:rsidR="00430E5D" w:rsidRPr="00BE7F1E">
        <w:rPr>
          <w:rFonts w:ascii="PermianSerifTypeface" w:hAnsi="PermianSerifTypeface"/>
          <w:lang w:val="ro-RO"/>
        </w:rPr>
        <w:t>consumator</w:t>
      </w:r>
      <w:r w:rsidRPr="00BE7F1E">
        <w:rPr>
          <w:rFonts w:ascii="PermianSerifTypeface" w:hAnsi="PermianSerifTypeface"/>
          <w:lang w:val="ro-RO"/>
        </w:rPr>
        <w:t xml:space="preserve">ului cel puțin la sfârșitul fiecărui interval </w:t>
      </w:r>
      <w:r w:rsidR="00050675" w:rsidRPr="00BE7F1E">
        <w:rPr>
          <w:rFonts w:ascii="PermianSerifTypeface" w:hAnsi="PermianSerifTypeface"/>
          <w:lang w:val="ro-RO"/>
        </w:rPr>
        <w:t xml:space="preserve">indicat </w:t>
      </w:r>
      <w:r w:rsidR="003E41D5" w:rsidRPr="00BE7F1E">
        <w:rPr>
          <w:rFonts w:ascii="PermianSerifTypeface" w:hAnsi="PermianSerifTypeface"/>
          <w:lang w:val="ro-RO"/>
        </w:rPr>
        <w:t>la pct</w:t>
      </w:r>
      <w:r w:rsidR="005E588D" w:rsidRPr="00BE7F1E">
        <w:rPr>
          <w:rFonts w:ascii="PermianSerifTypeface" w:hAnsi="PermianSerifTypeface"/>
          <w:lang w:val="ro-RO"/>
        </w:rPr>
        <w:t>.</w:t>
      </w:r>
      <w:r w:rsidR="003E41D5" w:rsidRPr="00BE7F1E">
        <w:rPr>
          <w:rFonts w:ascii="PermianSerifTypeface" w:hAnsi="PermianSerifTypeface"/>
          <w:lang w:val="ro-RO"/>
        </w:rPr>
        <w:fldChar w:fldCharType="begin"/>
      </w:r>
      <w:r w:rsidR="003E41D5" w:rsidRPr="00BE7F1E">
        <w:rPr>
          <w:rFonts w:ascii="PermianSerifTypeface" w:hAnsi="PermianSerifTypeface"/>
          <w:lang w:val="ro-RO"/>
        </w:rPr>
        <w:instrText xml:space="preserve"> REF _Ref83652231 \r \h </w:instrText>
      </w:r>
      <w:r w:rsidR="00CE31A5" w:rsidRPr="00BE7F1E">
        <w:rPr>
          <w:rFonts w:ascii="PermianSerifTypeface" w:hAnsi="PermianSerifTypeface"/>
          <w:lang w:val="ro-RO"/>
        </w:rPr>
        <w:instrText xml:space="preserve"> \* MERGEFORMAT </w:instrText>
      </w:r>
      <w:r w:rsidR="003E41D5" w:rsidRPr="00BE7F1E">
        <w:rPr>
          <w:rFonts w:ascii="PermianSerifTypeface" w:hAnsi="PermianSerifTypeface"/>
          <w:lang w:val="ro-RO"/>
        </w:rPr>
      </w:r>
      <w:r w:rsidR="003E41D5" w:rsidRPr="00BE7F1E">
        <w:rPr>
          <w:rFonts w:ascii="PermianSerifTypeface" w:hAnsi="PermianSerifTypeface"/>
          <w:lang w:val="ro-RO"/>
        </w:rPr>
        <w:fldChar w:fldCharType="separate"/>
      </w:r>
      <w:r w:rsidR="0053661A" w:rsidRPr="00BE7F1E">
        <w:rPr>
          <w:rFonts w:ascii="PermianSerifTypeface" w:hAnsi="PermianSerifTypeface"/>
          <w:lang w:val="ro-RO"/>
        </w:rPr>
        <w:t>45</w:t>
      </w:r>
      <w:r w:rsidR="003E41D5" w:rsidRPr="00BE7F1E">
        <w:rPr>
          <w:rFonts w:ascii="PermianSerifTypeface" w:hAnsi="PermianSerifTypeface"/>
          <w:lang w:val="ro-RO"/>
        </w:rPr>
        <w:fldChar w:fldCharType="end"/>
      </w:r>
      <w:r w:rsidR="00050675" w:rsidRPr="00BE7F1E">
        <w:rPr>
          <w:rFonts w:ascii="PermianSerifTypeface" w:hAnsi="PermianSerifTypeface"/>
          <w:lang w:val="ro-RO"/>
        </w:rPr>
        <w:t>, calculat din</w:t>
      </w:r>
      <w:r w:rsidRPr="00BE7F1E">
        <w:rPr>
          <w:rFonts w:ascii="PermianSerifTypeface" w:hAnsi="PermianSerifTypeface"/>
          <w:lang w:val="ro-RO"/>
        </w:rPr>
        <w:t xml:space="preserve"> data acordării</w:t>
      </w:r>
      <w:r w:rsidR="001F2691" w:rsidRPr="00BE7F1E">
        <w:rPr>
          <w:rFonts w:ascii="PermianSerifTypeface" w:hAnsi="PermianSerifTypeface"/>
          <w:lang w:val="ro-RO"/>
        </w:rPr>
        <w:t>/prelungirii</w:t>
      </w:r>
      <w:r w:rsidRPr="00BE7F1E">
        <w:rPr>
          <w:rFonts w:ascii="PermianSerifTypeface" w:hAnsi="PermianSerifTypeface"/>
          <w:lang w:val="ro-RO"/>
        </w:rPr>
        <w:t xml:space="preserve"> creditului. </w:t>
      </w:r>
      <w:bookmarkEnd w:id="38"/>
    </w:p>
    <w:p w14:paraId="115FF96F" w14:textId="6267D11F" w:rsidR="004A4047" w:rsidRPr="00BE7F1E" w:rsidRDefault="00C978E2" w:rsidP="00497793">
      <w:pPr>
        <w:spacing w:before="240" w:after="240"/>
        <w:rPr>
          <w:rFonts w:ascii="PermianSerifTypeface" w:hAnsi="PermianSerifTypeface"/>
          <w:lang w:val="ro-RO"/>
        </w:rPr>
      </w:pPr>
      <w:r w:rsidRPr="00BE7F1E">
        <w:rPr>
          <w:rFonts w:ascii="PermianSerifTypeface" w:hAnsi="PermianSerifTypeface"/>
          <w:b/>
          <w:bCs/>
          <w:lang w:val="ro-RO"/>
        </w:rPr>
        <w:t xml:space="preserve">Capitolul </w:t>
      </w:r>
      <w:r w:rsidR="00AB4C6B" w:rsidRPr="00BE7F1E">
        <w:rPr>
          <w:rFonts w:ascii="PermianSerifTypeface" w:hAnsi="PermianSerifTypeface"/>
          <w:b/>
          <w:bCs/>
          <w:lang w:val="ro-RO"/>
        </w:rPr>
        <w:t>I</w:t>
      </w:r>
      <w:r w:rsidR="0049127A" w:rsidRPr="00BE7F1E">
        <w:rPr>
          <w:rFonts w:ascii="PermianSerifTypeface" w:hAnsi="PermianSerifTypeface"/>
          <w:b/>
          <w:bCs/>
          <w:lang w:val="ro-RO"/>
        </w:rPr>
        <w:t>V</w:t>
      </w:r>
      <w:r w:rsidR="004A4047" w:rsidRPr="00BE7F1E">
        <w:rPr>
          <w:rFonts w:ascii="PermianSerifTypeface" w:hAnsi="PermianSerifTypeface"/>
          <w:b/>
          <w:bCs/>
          <w:lang w:val="ro-RO"/>
        </w:rPr>
        <w:t xml:space="preserve">. </w:t>
      </w:r>
      <w:r w:rsidR="009341FD" w:rsidRPr="00BE7F1E">
        <w:rPr>
          <w:rFonts w:ascii="PermianSerifTypeface" w:hAnsi="PermianSerifTypeface"/>
          <w:b/>
          <w:bCs/>
          <w:lang w:val="ro-RO"/>
        </w:rPr>
        <w:t xml:space="preserve">CERINȚĂ DE RAPORTARE </w:t>
      </w:r>
    </w:p>
    <w:p w14:paraId="04CB06B0" w14:textId="51AD620F" w:rsidR="00DF5067" w:rsidRPr="00DF5067" w:rsidRDefault="00646481" w:rsidP="00DF5067">
      <w:pPr>
        <w:numPr>
          <w:ilvl w:val="0"/>
          <w:numId w:val="4"/>
        </w:numPr>
        <w:tabs>
          <w:tab w:val="left" w:pos="426"/>
        </w:tabs>
        <w:rPr>
          <w:rFonts w:ascii="PermianSerifTypeface" w:hAnsi="PermianSerifTypeface"/>
          <w:bCs/>
          <w:lang w:val="ro-RO"/>
        </w:rPr>
      </w:pPr>
      <w:r w:rsidRPr="00BE7F1E">
        <w:rPr>
          <w:rFonts w:ascii="PermianSerifTypeface" w:hAnsi="PermianSerifTypeface"/>
          <w:lang w:val="ro-RO"/>
        </w:rPr>
        <w:t>Băncile</w:t>
      </w:r>
      <w:r w:rsidR="004A4047" w:rsidRPr="00BE7F1E">
        <w:rPr>
          <w:rFonts w:ascii="PermianSerifTypeface" w:hAnsi="PermianSerifTypeface"/>
          <w:lang w:val="ro-RO"/>
        </w:rPr>
        <w:t xml:space="preserve"> </w:t>
      </w:r>
      <w:r w:rsidR="006026E7" w:rsidRPr="00BE7F1E">
        <w:rPr>
          <w:rFonts w:ascii="PermianSerifTypeface" w:hAnsi="PermianSerifTypeface"/>
          <w:lang w:val="ro-RO"/>
        </w:rPr>
        <w:t>raport</w:t>
      </w:r>
      <w:r w:rsidR="00402E63" w:rsidRPr="00BE7F1E">
        <w:rPr>
          <w:rFonts w:ascii="PermianSerifTypeface" w:hAnsi="PermianSerifTypeface"/>
          <w:lang w:val="ro-RO"/>
        </w:rPr>
        <w:t>e</w:t>
      </w:r>
      <w:r w:rsidR="006026E7" w:rsidRPr="00BE7F1E">
        <w:rPr>
          <w:rFonts w:ascii="PermianSerifTypeface" w:hAnsi="PermianSerifTypeface"/>
          <w:lang w:val="ro-RO"/>
        </w:rPr>
        <w:t>a</w:t>
      </w:r>
      <w:r w:rsidR="00402E63" w:rsidRPr="00BE7F1E">
        <w:rPr>
          <w:rFonts w:ascii="PermianSerifTypeface" w:hAnsi="PermianSerifTypeface"/>
          <w:lang w:val="ro-RO"/>
        </w:rPr>
        <w:t>ză către</w:t>
      </w:r>
      <w:r w:rsidR="004A4047" w:rsidRPr="00BE7F1E">
        <w:rPr>
          <w:rFonts w:ascii="PermianSerifTypeface" w:hAnsi="PermianSerifTypeface"/>
          <w:lang w:val="ro-RO"/>
        </w:rPr>
        <w:t xml:space="preserve"> </w:t>
      </w:r>
      <w:r w:rsidR="0099373A" w:rsidRPr="00BE7F1E">
        <w:rPr>
          <w:rFonts w:ascii="PermianSerifTypeface" w:hAnsi="PermianSerifTypeface"/>
          <w:lang w:val="ro-RO"/>
        </w:rPr>
        <w:t>BNM</w:t>
      </w:r>
      <w:r w:rsidR="004A4047" w:rsidRPr="00BE7F1E">
        <w:rPr>
          <w:rFonts w:ascii="PermianSerifTypeface" w:hAnsi="PermianSerifTypeface"/>
          <w:lang w:val="ro-RO"/>
        </w:rPr>
        <w:t xml:space="preserve"> </w:t>
      </w:r>
      <w:r w:rsidR="005E588D" w:rsidRPr="00BE7F1E">
        <w:rPr>
          <w:rFonts w:ascii="PermianSerifTypeface" w:hAnsi="PermianSerifTypeface"/>
          <w:lang w:val="ro-RO"/>
        </w:rPr>
        <w:t>valorile</w:t>
      </w:r>
      <w:r w:rsidR="00D6526A" w:rsidRPr="00BE7F1E">
        <w:rPr>
          <w:rFonts w:ascii="PermianSerifTypeface" w:hAnsi="PermianSerifTypeface"/>
          <w:lang w:val="ro-RO"/>
        </w:rPr>
        <w:t xml:space="preserve"> </w:t>
      </w:r>
      <w:r w:rsidR="004C6F35" w:rsidRPr="00BE7F1E">
        <w:rPr>
          <w:rFonts w:ascii="PermianSerifTypeface" w:hAnsi="PermianSerifTypeface"/>
          <w:lang w:val="ro-RO"/>
        </w:rPr>
        <w:t>RCG și RSDV</w:t>
      </w:r>
      <w:r w:rsidR="006026E7" w:rsidRPr="00BE7F1E">
        <w:rPr>
          <w:rFonts w:ascii="PermianSerifTypeface" w:hAnsi="PermianSerifTypeface"/>
          <w:lang w:val="ro-RO"/>
        </w:rPr>
        <w:t>, precum</w:t>
      </w:r>
      <w:r w:rsidR="004C6F35" w:rsidRPr="00BE7F1E">
        <w:rPr>
          <w:rFonts w:ascii="PermianSerifTypeface" w:hAnsi="PermianSerifTypeface"/>
          <w:lang w:val="ro-RO"/>
        </w:rPr>
        <w:t xml:space="preserve"> </w:t>
      </w:r>
      <w:r w:rsidR="004A4047" w:rsidRPr="00BE7F1E">
        <w:rPr>
          <w:rFonts w:ascii="PermianSerifTypeface" w:hAnsi="PermianSerifTypeface"/>
          <w:lang w:val="ro-RO"/>
        </w:rPr>
        <w:t xml:space="preserve">și </w:t>
      </w:r>
      <w:r w:rsidR="005E588D" w:rsidRPr="00BE7F1E">
        <w:rPr>
          <w:rFonts w:ascii="PermianSerifTypeface" w:hAnsi="PermianSerifTypeface"/>
          <w:lang w:val="ro-RO"/>
        </w:rPr>
        <w:t xml:space="preserve">a </w:t>
      </w:r>
      <w:r w:rsidR="004A4047" w:rsidRPr="00BE7F1E">
        <w:rPr>
          <w:rFonts w:ascii="PermianSerifTypeface" w:hAnsi="PermianSerifTypeface"/>
          <w:lang w:val="ro-RO"/>
        </w:rPr>
        <w:t>componentel</w:t>
      </w:r>
      <w:r w:rsidR="005E588D" w:rsidRPr="00BE7F1E">
        <w:rPr>
          <w:rFonts w:ascii="PermianSerifTypeface" w:hAnsi="PermianSerifTypeface"/>
          <w:lang w:val="ro-RO"/>
        </w:rPr>
        <w:t>or</w:t>
      </w:r>
      <w:r w:rsidR="004A4047" w:rsidRPr="00BE7F1E">
        <w:rPr>
          <w:rFonts w:ascii="PermianSerifTypeface" w:hAnsi="PermianSerifTypeface"/>
          <w:lang w:val="ro-RO"/>
        </w:rPr>
        <w:t xml:space="preserve"> acest</w:t>
      </w:r>
      <w:r w:rsidR="004C6F35" w:rsidRPr="00BE7F1E">
        <w:rPr>
          <w:rFonts w:ascii="PermianSerifTypeface" w:hAnsi="PermianSerifTypeface"/>
          <w:lang w:val="ro-RO"/>
        </w:rPr>
        <w:t>or</w:t>
      </w:r>
      <w:r w:rsidR="004A4047" w:rsidRPr="00BE7F1E">
        <w:rPr>
          <w:rFonts w:ascii="PermianSerifTypeface" w:hAnsi="PermianSerifTypeface"/>
          <w:lang w:val="ro-RO"/>
        </w:rPr>
        <w:t xml:space="preserve">a, </w:t>
      </w:r>
      <w:r w:rsidR="0066401A" w:rsidRPr="00BE7F1E">
        <w:rPr>
          <w:rFonts w:ascii="PermianSerifTypeface" w:hAnsi="PermianSerifTypeface"/>
          <w:lang w:val="ro-RO"/>
        </w:rPr>
        <w:t>în conformitate cu cerin</w:t>
      </w:r>
      <w:r w:rsidR="008C42DF" w:rsidRPr="00BE7F1E">
        <w:rPr>
          <w:rFonts w:ascii="PermianSerifTypeface" w:hAnsi="PermianSerifTypeface"/>
          <w:lang w:val="ro-RO"/>
        </w:rPr>
        <w:t>ț</w:t>
      </w:r>
      <w:r w:rsidR="0066401A" w:rsidRPr="00BE7F1E">
        <w:rPr>
          <w:rFonts w:ascii="PermianSerifTypeface" w:hAnsi="PermianSerifTypeface"/>
          <w:lang w:val="ro-RO"/>
        </w:rPr>
        <w:t xml:space="preserve">ele stabilite prin </w:t>
      </w:r>
      <w:bookmarkStart w:id="39" w:name="_Hlk83810317"/>
      <w:r w:rsidR="0066401A" w:rsidRPr="00BE7F1E">
        <w:rPr>
          <w:rFonts w:ascii="PermianSerifTypeface" w:hAnsi="PermianSerifTypeface"/>
          <w:lang w:val="ro-RO"/>
        </w:rPr>
        <w:t>Instruc</w:t>
      </w:r>
      <w:r w:rsidR="008C42DF" w:rsidRPr="00BE7F1E">
        <w:rPr>
          <w:rFonts w:ascii="PermianSerifTypeface" w:hAnsi="PermianSerifTypeface"/>
          <w:lang w:val="ro-RO"/>
        </w:rPr>
        <w:t>ț</w:t>
      </w:r>
      <w:r w:rsidR="0066401A" w:rsidRPr="00BE7F1E">
        <w:rPr>
          <w:rFonts w:ascii="PermianSerifTypeface" w:hAnsi="PermianSerifTypeface"/>
          <w:lang w:val="ro-RO"/>
        </w:rPr>
        <w:t xml:space="preserve">iunea </w:t>
      </w:r>
      <w:r w:rsidR="004C6F35" w:rsidRPr="00BE7F1E">
        <w:rPr>
          <w:rFonts w:ascii="PermianSerifTypeface" w:hAnsi="PermianSerifTypeface"/>
          <w:lang w:val="ro-RO"/>
        </w:rPr>
        <w:t xml:space="preserve">privind modul de întocmire </w:t>
      </w:r>
      <w:r w:rsidR="008C42DF" w:rsidRPr="00BE7F1E">
        <w:rPr>
          <w:rFonts w:ascii="PermianSerifTypeface" w:hAnsi="PermianSerifTypeface"/>
          <w:lang w:val="ro-RO"/>
        </w:rPr>
        <w:t>ș</w:t>
      </w:r>
      <w:r w:rsidR="004C6F35" w:rsidRPr="00BE7F1E">
        <w:rPr>
          <w:rFonts w:ascii="PermianSerifTypeface" w:hAnsi="PermianSerifTypeface"/>
          <w:lang w:val="ro-RO"/>
        </w:rPr>
        <w:t xml:space="preserve">i prezentare de către bănci a rapoartelor </w:t>
      </w:r>
      <w:r w:rsidR="004C6F35" w:rsidRPr="00DF5067">
        <w:rPr>
          <w:rFonts w:ascii="PermianSerifTypeface" w:hAnsi="PermianSerifTypeface"/>
          <w:lang w:val="ro-RO"/>
        </w:rPr>
        <w:t xml:space="preserve">primare în vederea identificării </w:t>
      </w:r>
      <w:r w:rsidR="008C42DF" w:rsidRPr="00DF5067">
        <w:rPr>
          <w:rFonts w:ascii="PermianSerifTypeface" w:hAnsi="PermianSerifTypeface"/>
          <w:lang w:val="ro-RO"/>
        </w:rPr>
        <w:t>ș</w:t>
      </w:r>
      <w:r w:rsidR="004C6F35" w:rsidRPr="00DF5067">
        <w:rPr>
          <w:rFonts w:ascii="PermianSerifTypeface" w:hAnsi="PermianSerifTypeface"/>
          <w:lang w:val="ro-RO"/>
        </w:rPr>
        <w:t>i supravegherii riscului de credit</w:t>
      </w:r>
      <w:r w:rsidR="0066401A" w:rsidRPr="00DF5067">
        <w:rPr>
          <w:rFonts w:ascii="PermianSerifTypeface" w:hAnsi="PermianSerifTypeface"/>
          <w:lang w:val="ro-RO"/>
        </w:rPr>
        <w:t xml:space="preserve">, aprobată </w:t>
      </w:r>
      <w:r w:rsidR="00B40514" w:rsidRPr="00DF5067">
        <w:rPr>
          <w:rFonts w:ascii="PermianSerifTypeface" w:hAnsi="PermianSerifTypeface"/>
          <w:lang w:val="ro-RO"/>
        </w:rPr>
        <w:t>prin</w:t>
      </w:r>
      <w:r w:rsidR="0066401A" w:rsidRPr="00DF5067">
        <w:rPr>
          <w:rFonts w:ascii="PermianSerifTypeface" w:hAnsi="PermianSerifTypeface"/>
          <w:lang w:val="ro-RO"/>
        </w:rPr>
        <w:t xml:space="preserve"> </w:t>
      </w:r>
      <w:bookmarkEnd w:id="39"/>
      <w:r w:rsidR="00C47A1F" w:rsidRPr="00DF5067">
        <w:rPr>
          <w:rFonts w:ascii="PermianSerifTypeface" w:hAnsi="PermianSerifTypeface"/>
          <w:lang w:val="ro-RO"/>
        </w:rPr>
        <w:t xml:space="preserve">Hotărârea Comitetului executiv al Băncii </w:t>
      </w:r>
      <w:proofErr w:type="spellStart"/>
      <w:r w:rsidR="00C47A1F" w:rsidRPr="00DF5067">
        <w:rPr>
          <w:rFonts w:ascii="PermianSerifTypeface" w:hAnsi="PermianSerifTypeface"/>
          <w:lang w:val="ro-RO"/>
        </w:rPr>
        <w:t>Naţionale</w:t>
      </w:r>
      <w:proofErr w:type="spellEnd"/>
      <w:r w:rsidR="00C47A1F" w:rsidRPr="00DF5067">
        <w:rPr>
          <w:rFonts w:ascii="PermianSerifTypeface" w:hAnsi="PermianSerifTypeface"/>
          <w:lang w:val="ro-RO"/>
        </w:rPr>
        <w:t xml:space="preserve"> a Moldovei nr. 54/2016</w:t>
      </w:r>
      <w:r w:rsidR="0066401A" w:rsidRPr="00DF5067">
        <w:rPr>
          <w:rFonts w:ascii="PermianSerifTypeface" w:hAnsi="PermianSerifTypeface"/>
          <w:lang w:val="ro-RO"/>
        </w:rPr>
        <w:t xml:space="preserve">. </w:t>
      </w:r>
    </w:p>
    <w:p w14:paraId="16997FF7" w14:textId="063DD27C" w:rsidR="00650EFA" w:rsidRPr="00BE7F1E" w:rsidRDefault="00650EFA" w:rsidP="008C0304">
      <w:pPr>
        <w:numPr>
          <w:ilvl w:val="0"/>
          <w:numId w:val="4"/>
        </w:numPr>
        <w:tabs>
          <w:tab w:val="left" w:pos="426"/>
        </w:tabs>
        <w:rPr>
          <w:rFonts w:ascii="PermianSerifTypeface" w:hAnsi="PermianSerifTypeface"/>
          <w:bCs/>
          <w:lang w:val="ro-RO"/>
        </w:rPr>
      </w:pPr>
      <w:r w:rsidRPr="00DF5067">
        <w:rPr>
          <w:rFonts w:ascii="PermianSerifTypeface" w:hAnsi="PermianSerifTypeface"/>
          <w:bCs/>
          <w:lang w:val="ro-RO"/>
        </w:rPr>
        <w:t>Organizațiile de creditare nebancară raportează către BNM valorile RCG și RSDV,</w:t>
      </w:r>
      <w:r w:rsidR="00D2184E" w:rsidRPr="00DF5067">
        <w:rPr>
          <w:rFonts w:ascii="PermianSerifTypeface" w:hAnsi="PermianSerifTypeface"/>
          <w:bCs/>
          <w:lang w:val="ro-RO"/>
        </w:rPr>
        <w:t xml:space="preserve"> în conformitate cu cerințele stabilite prin Instrucțiunea cu privire la raportarea organizațiilor de creditare nebancară, aprobată prin </w:t>
      </w:r>
      <w:r w:rsidR="00F60A5E" w:rsidRPr="00DF5067">
        <w:rPr>
          <w:rFonts w:ascii="PermianSerifTypeface" w:hAnsi="PermianSerifTypeface"/>
          <w:bCs/>
          <w:lang w:val="ro-RO"/>
        </w:rPr>
        <w:t xml:space="preserve">Hotărârea Comitetului executiv al Băncii </w:t>
      </w:r>
      <w:proofErr w:type="spellStart"/>
      <w:r w:rsidR="00F60A5E" w:rsidRPr="00DF5067">
        <w:rPr>
          <w:rFonts w:ascii="PermianSerifTypeface" w:hAnsi="PermianSerifTypeface"/>
          <w:bCs/>
          <w:lang w:val="ro-RO"/>
        </w:rPr>
        <w:t>Naţionale</w:t>
      </w:r>
      <w:proofErr w:type="spellEnd"/>
      <w:r w:rsidR="00F60A5E" w:rsidRPr="00DF5067">
        <w:rPr>
          <w:rFonts w:ascii="PermianSerifTypeface" w:hAnsi="PermianSerifTypeface"/>
          <w:bCs/>
          <w:lang w:val="ro-RO"/>
        </w:rPr>
        <w:t xml:space="preserve"> a Moldovei </w:t>
      </w:r>
      <w:r w:rsidR="00D2184E" w:rsidRPr="00DF5067">
        <w:rPr>
          <w:rFonts w:ascii="PermianSerifTypeface" w:hAnsi="PermianSerifTypeface"/>
          <w:bCs/>
          <w:lang w:val="ro-RO"/>
        </w:rPr>
        <w:t>nr. 15/2024</w:t>
      </w:r>
      <w:r w:rsidRPr="00BE7F1E">
        <w:rPr>
          <w:rFonts w:ascii="PermianSerifTypeface" w:hAnsi="PermianSerifTypeface"/>
          <w:bCs/>
          <w:lang w:val="ro-RO"/>
        </w:rPr>
        <w:t>.</w:t>
      </w:r>
    </w:p>
    <w:p w14:paraId="5C14A5BC" w14:textId="77777777" w:rsidR="00650EFA" w:rsidRPr="00BE7F1E" w:rsidRDefault="00650EFA" w:rsidP="00EA6274">
      <w:pPr>
        <w:rPr>
          <w:rFonts w:ascii="PermianSerifTypeface" w:hAnsi="PermianSerifTypeface"/>
          <w:b/>
          <w:bCs/>
          <w:lang w:val="ro-RO"/>
        </w:rPr>
      </w:pPr>
    </w:p>
    <w:p w14:paraId="25DF2B11" w14:textId="77777777" w:rsidR="00650EFA" w:rsidRPr="00BE7F1E" w:rsidRDefault="00650EFA" w:rsidP="00497793">
      <w:pPr>
        <w:spacing w:after="240"/>
        <w:rPr>
          <w:rFonts w:ascii="PermianSerifTypeface" w:hAnsi="PermianSerifTypeface"/>
          <w:b/>
          <w:bCs/>
          <w:lang w:val="ro-RO"/>
        </w:rPr>
      </w:pPr>
      <w:r w:rsidRPr="00BE7F1E">
        <w:rPr>
          <w:rFonts w:ascii="PermianSerifTypeface" w:hAnsi="PermianSerifTypeface"/>
          <w:b/>
          <w:bCs/>
          <w:lang w:val="ro-RO"/>
        </w:rPr>
        <w:lastRenderedPageBreak/>
        <w:t>Capitolul V. DISPOZIȚII FINALE</w:t>
      </w:r>
    </w:p>
    <w:p w14:paraId="3C6B57F3" w14:textId="6BEB6BC9" w:rsidR="00D601BC" w:rsidRPr="00BE7F1E" w:rsidRDefault="00650EFA" w:rsidP="008C0304">
      <w:pPr>
        <w:pStyle w:val="ListParagraph"/>
        <w:numPr>
          <w:ilvl w:val="0"/>
          <w:numId w:val="4"/>
        </w:numPr>
        <w:rPr>
          <w:rFonts w:ascii="PermianSerifTypeface" w:hAnsi="PermianSerifTypeface"/>
          <w:bCs/>
          <w:lang w:val="ro-RO"/>
        </w:rPr>
      </w:pPr>
      <w:r w:rsidRPr="00BE7F1E">
        <w:rPr>
          <w:rFonts w:ascii="PermianSerifTypeface" w:hAnsi="PermianSerifTypeface"/>
          <w:b/>
          <w:bCs/>
          <w:lang w:val="ro-RO"/>
        </w:rPr>
        <w:t xml:space="preserve"> </w:t>
      </w:r>
      <w:r w:rsidRPr="00BE7F1E">
        <w:rPr>
          <w:rFonts w:ascii="PermianSerifTypeface" w:hAnsi="PermianSerifTypeface"/>
          <w:lang w:val="ro-MD"/>
        </w:rPr>
        <w:t xml:space="preserve">În cazul în care </w:t>
      </w:r>
      <w:r w:rsidR="003705BD" w:rsidRPr="00BE7F1E">
        <w:rPr>
          <w:rFonts w:ascii="PermianSerifTypeface" w:hAnsi="PermianSerifTypeface"/>
          <w:lang w:val="ro-MD"/>
        </w:rPr>
        <w:t xml:space="preserve">băncile și </w:t>
      </w:r>
      <w:r w:rsidRPr="00BE7F1E">
        <w:rPr>
          <w:rFonts w:ascii="PermianSerifTypeface" w:hAnsi="PermianSerifTypeface"/>
          <w:lang w:val="ro-MD"/>
        </w:rPr>
        <w:t>organizațiile de creditare nebancară acordă credite, utilizând serviciile intermediarului/</w:t>
      </w:r>
      <w:r w:rsidR="000757D3">
        <w:rPr>
          <w:rFonts w:ascii="PermianSerifTypeface" w:hAnsi="PermianSerifTypeface"/>
          <w:lang w:val="ro-MD"/>
        </w:rPr>
        <w:t>intermedia</w:t>
      </w:r>
      <w:r w:rsidRPr="00BE7F1E">
        <w:rPr>
          <w:rFonts w:ascii="PermianSerifTypeface" w:hAnsi="PermianSerifTypeface"/>
          <w:lang w:val="ro-MD"/>
        </w:rPr>
        <w:t xml:space="preserve">rilor de credit, responsabilitatea pentru respectarea prezentului Regulament revine în totalitate </w:t>
      </w:r>
      <w:r w:rsidR="003705BD" w:rsidRPr="00BE7F1E">
        <w:rPr>
          <w:rFonts w:ascii="PermianSerifTypeface" w:hAnsi="PermianSerifTypeface"/>
          <w:lang w:val="ro-MD"/>
        </w:rPr>
        <w:t xml:space="preserve">băncilor și </w:t>
      </w:r>
      <w:r w:rsidRPr="00BE7F1E">
        <w:rPr>
          <w:rFonts w:ascii="PermianSerifTypeface" w:hAnsi="PermianSerifTypeface"/>
          <w:lang w:val="ro-MD"/>
        </w:rPr>
        <w:t>organizații</w:t>
      </w:r>
      <w:r w:rsidR="009B74CC" w:rsidRPr="00BE7F1E">
        <w:rPr>
          <w:rFonts w:ascii="PermianSerifTypeface" w:hAnsi="PermianSerifTypeface"/>
          <w:lang w:val="ro-MD"/>
        </w:rPr>
        <w:t>lor</w:t>
      </w:r>
      <w:r w:rsidRPr="00BE7F1E">
        <w:rPr>
          <w:rFonts w:ascii="PermianSerifTypeface" w:hAnsi="PermianSerifTypeface"/>
          <w:lang w:val="ro-MD"/>
        </w:rPr>
        <w:t xml:space="preserve"> de creditare nebancară.</w:t>
      </w:r>
      <w:r w:rsidRPr="00BE7F1E">
        <w:rPr>
          <w:rFonts w:ascii="PermianSerifTypeface" w:hAnsi="PermianSerifTypeface"/>
          <w:b/>
          <w:bCs/>
          <w:lang w:val="ro-RO"/>
        </w:rPr>
        <w:t xml:space="preserve"> </w:t>
      </w:r>
    </w:p>
    <w:sectPr w:rsidR="00D601BC" w:rsidRPr="00BE7F1E" w:rsidSect="00C26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2837A" w14:textId="77777777" w:rsidR="006D6CB0" w:rsidRDefault="006D6CB0" w:rsidP="0032226F">
      <w:r>
        <w:separator/>
      </w:r>
    </w:p>
  </w:endnote>
  <w:endnote w:type="continuationSeparator" w:id="0">
    <w:p w14:paraId="3890F07B" w14:textId="77777777" w:rsidR="006D6CB0" w:rsidRDefault="006D6CB0" w:rsidP="0032226F">
      <w:r>
        <w:continuationSeparator/>
      </w:r>
    </w:p>
  </w:endnote>
  <w:endnote w:type="continuationNotice" w:id="1">
    <w:p w14:paraId="1591F9B3" w14:textId="77777777" w:rsidR="006D6CB0" w:rsidRDefault="006D6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mian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84486" w14:textId="42A224E2" w:rsidR="00663CB9" w:rsidRPr="00034721" w:rsidRDefault="00663CB9" w:rsidP="00034721">
    <w:pPr>
      <w:pStyle w:val="Footer"/>
    </w:pPr>
    <w:bookmarkStart w:id="42" w:name="TITUS1FooterEvenPages"/>
    <w:r w:rsidRPr="00034721">
      <w:rPr>
        <w:color w:val="000000"/>
        <w:sz w:val="2"/>
      </w:rPr>
      <w:t> </w:t>
    </w:r>
    <w:bookmarkEnd w:id="4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FE5AE" w14:textId="091968AD" w:rsidR="00663CB9" w:rsidRPr="00034721" w:rsidRDefault="00663CB9" w:rsidP="00034721">
    <w:pPr>
      <w:pStyle w:val="Footer"/>
    </w:pPr>
    <w:bookmarkStart w:id="43" w:name="TITUS1FooterPrimary"/>
    <w:r w:rsidRPr="00034721">
      <w:rPr>
        <w:color w:val="000000"/>
        <w:sz w:val="2"/>
      </w:rPr>
      <w:t> </w:t>
    </w:r>
    <w:bookmarkEnd w:id="4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CEF0B" w14:textId="77777777" w:rsidR="00663CB9" w:rsidRDefault="00663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688E3" w14:textId="77777777" w:rsidR="006D6CB0" w:rsidRDefault="006D6CB0" w:rsidP="0032226F">
      <w:r>
        <w:separator/>
      </w:r>
    </w:p>
  </w:footnote>
  <w:footnote w:type="continuationSeparator" w:id="0">
    <w:p w14:paraId="47A6F770" w14:textId="77777777" w:rsidR="006D6CB0" w:rsidRDefault="006D6CB0" w:rsidP="0032226F">
      <w:r>
        <w:continuationSeparator/>
      </w:r>
    </w:p>
  </w:footnote>
  <w:footnote w:type="continuationNotice" w:id="1">
    <w:p w14:paraId="2B132DD4" w14:textId="77777777" w:rsidR="006D6CB0" w:rsidRDefault="006D6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C25C0" w14:textId="1BDF137E" w:rsidR="00663CB9" w:rsidRPr="00034721" w:rsidRDefault="00663CB9" w:rsidP="00034721">
    <w:pPr>
      <w:pStyle w:val="Header"/>
    </w:pPr>
    <w:bookmarkStart w:id="40" w:name="TITUS1HeaderEvenPages"/>
    <w:r w:rsidRPr="00034721">
      <w:rPr>
        <w:color w:val="000000"/>
        <w:sz w:val="2"/>
      </w:rPr>
      <w:t> </w:t>
    </w:r>
    <w:bookmarkEnd w:id="4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F3D8F" w14:textId="31DEECE8" w:rsidR="00663CB9" w:rsidRPr="00034721" w:rsidRDefault="00663CB9" w:rsidP="00034721">
    <w:pPr>
      <w:pStyle w:val="Header"/>
    </w:pPr>
    <w:bookmarkStart w:id="41" w:name="TITUS1HeaderPrimary"/>
    <w:r w:rsidRPr="00034721">
      <w:rPr>
        <w:color w:val="000000"/>
        <w:sz w:val="2"/>
      </w:rPr>
      <w:t> </w:t>
    </w:r>
    <w:bookmarkEnd w:id="4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8B004" w14:textId="77777777" w:rsidR="00663CB9" w:rsidRDefault="00663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74BE"/>
    <w:multiLevelType w:val="hybridMultilevel"/>
    <w:tmpl w:val="EC9260F6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43606"/>
    <w:multiLevelType w:val="hybridMultilevel"/>
    <w:tmpl w:val="77BC00B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3C5F"/>
    <w:multiLevelType w:val="hybridMultilevel"/>
    <w:tmpl w:val="95E4EA30"/>
    <w:lvl w:ilvl="0" w:tplc="38045490">
      <w:numFmt w:val="bullet"/>
      <w:lvlText w:val="-"/>
      <w:lvlJc w:val="left"/>
      <w:pPr>
        <w:ind w:left="720" w:hanging="360"/>
      </w:pPr>
      <w:rPr>
        <w:rFonts w:ascii="PermianSerifTypeface" w:eastAsiaTheme="minorHAnsi" w:hAnsi="PermianSerifTypeface" w:cs="Calibri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476E"/>
    <w:multiLevelType w:val="hybridMultilevel"/>
    <w:tmpl w:val="21C00B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F079C"/>
    <w:multiLevelType w:val="hybridMultilevel"/>
    <w:tmpl w:val="12DAA50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1">
      <w:start w:val="1"/>
      <w:numFmt w:val="decimal"/>
      <w:lvlText w:val="%2)"/>
      <w:lvlJc w:val="left"/>
      <w:pPr>
        <w:ind w:left="644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5775"/>
    <w:multiLevelType w:val="hybridMultilevel"/>
    <w:tmpl w:val="A4F0FE86"/>
    <w:lvl w:ilvl="0" w:tplc="FFD2D8AE">
      <w:start w:val="1"/>
      <w:numFmt w:val="lowerLetter"/>
      <w:lvlText w:val="%1)"/>
      <w:lvlJc w:val="left"/>
      <w:pPr>
        <w:ind w:left="644" w:hanging="360"/>
      </w:pPr>
      <w:rPr>
        <w:b w:val="0"/>
        <w:bCs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227D96"/>
    <w:multiLevelType w:val="hybridMultilevel"/>
    <w:tmpl w:val="26ECAC42"/>
    <w:lvl w:ilvl="0" w:tplc="A46678B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6849"/>
    <w:multiLevelType w:val="hybridMultilevel"/>
    <w:tmpl w:val="F490F1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D316D"/>
    <w:multiLevelType w:val="hybridMultilevel"/>
    <w:tmpl w:val="721E6A38"/>
    <w:lvl w:ilvl="0" w:tplc="F3546AA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38881D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DEDFA4">
      <w:start w:val="16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4321"/>
    <w:multiLevelType w:val="hybridMultilevel"/>
    <w:tmpl w:val="0DD26D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87AA6"/>
    <w:multiLevelType w:val="hybridMultilevel"/>
    <w:tmpl w:val="C03A15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38045490">
      <w:numFmt w:val="bullet"/>
      <w:lvlText w:val="-"/>
      <w:lvlJc w:val="left"/>
      <w:pPr>
        <w:ind w:left="2340" w:hanging="360"/>
      </w:pPr>
      <w:rPr>
        <w:rFonts w:ascii="PermianSerifTypeface" w:eastAsiaTheme="minorHAnsi" w:hAnsi="PermianSerifTypeface" w:cs="Calibri" w:hint="default"/>
        <w:i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86840"/>
    <w:multiLevelType w:val="hybridMultilevel"/>
    <w:tmpl w:val="455E767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00EFA"/>
    <w:multiLevelType w:val="hybridMultilevel"/>
    <w:tmpl w:val="784C63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1C76"/>
    <w:multiLevelType w:val="hybridMultilevel"/>
    <w:tmpl w:val="2DC663B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D4934"/>
    <w:multiLevelType w:val="hybridMultilevel"/>
    <w:tmpl w:val="2A627146"/>
    <w:lvl w:ilvl="0" w:tplc="0C0ECE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E0A3C"/>
    <w:multiLevelType w:val="hybridMultilevel"/>
    <w:tmpl w:val="E6D07E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7C73"/>
    <w:multiLevelType w:val="hybridMultilevel"/>
    <w:tmpl w:val="E22C60EA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6704B"/>
    <w:multiLevelType w:val="hybridMultilevel"/>
    <w:tmpl w:val="AADC4D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86B16"/>
    <w:multiLevelType w:val="hybridMultilevel"/>
    <w:tmpl w:val="C3AC15B4"/>
    <w:lvl w:ilvl="0" w:tplc="FFFFFFFF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E0541"/>
    <w:multiLevelType w:val="hybridMultilevel"/>
    <w:tmpl w:val="35E4DC38"/>
    <w:lvl w:ilvl="0" w:tplc="7CAEB5D4">
      <w:start w:val="1"/>
      <w:numFmt w:val="decimal"/>
      <w:lvlText w:val="%1)"/>
      <w:lvlJc w:val="left"/>
      <w:pPr>
        <w:ind w:left="2007" w:hanging="360"/>
      </w:pPr>
      <w:rPr>
        <w:rFonts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13734"/>
    <w:multiLevelType w:val="hybridMultilevel"/>
    <w:tmpl w:val="FE6C1F1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B0FEA"/>
    <w:multiLevelType w:val="hybridMultilevel"/>
    <w:tmpl w:val="F6E8A396"/>
    <w:lvl w:ilvl="0" w:tplc="10D0644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71E8E"/>
    <w:multiLevelType w:val="hybridMultilevel"/>
    <w:tmpl w:val="8416BE5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6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55CC3"/>
    <w:multiLevelType w:val="hybridMultilevel"/>
    <w:tmpl w:val="219A6F6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6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A7BB5"/>
    <w:multiLevelType w:val="hybridMultilevel"/>
    <w:tmpl w:val="5976A1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9634C"/>
    <w:multiLevelType w:val="hybridMultilevel"/>
    <w:tmpl w:val="86480EDA"/>
    <w:lvl w:ilvl="0" w:tplc="F6941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33BD1"/>
    <w:multiLevelType w:val="hybridMultilevel"/>
    <w:tmpl w:val="DC5063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18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54590"/>
    <w:multiLevelType w:val="hybridMultilevel"/>
    <w:tmpl w:val="35E4DC38"/>
    <w:lvl w:ilvl="0" w:tplc="7CAEB5D4">
      <w:start w:val="1"/>
      <w:numFmt w:val="decimal"/>
      <w:lvlText w:val="%1)"/>
      <w:lvlJc w:val="left"/>
      <w:pPr>
        <w:ind w:left="2007" w:hanging="360"/>
      </w:pPr>
      <w:rPr>
        <w:rFonts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E1FB8"/>
    <w:multiLevelType w:val="hybridMultilevel"/>
    <w:tmpl w:val="A79CA1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38045490">
      <w:numFmt w:val="bullet"/>
      <w:lvlText w:val="-"/>
      <w:lvlJc w:val="left"/>
      <w:pPr>
        <w:ind w:left="2340" w:hanging="360"/>
      </w:pPr>
      <w:rPr>
        <w:rFonts w:ascii="PermianSerifTypeface" w:eastAsiaTheme="minorHAnsi" w:hAnsi="PermianSerifTypeface" w:cs="Calibri" w:hint="default"/>
        <w:i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5303D"/>
    <w:multiLevelType w:val="hybridMultilevel"/>
    <w:tmpl w:val="AE2AF6F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426FF"/>
    <w:multiLevelType w:val="hybridMultilevel"/>
    <w:tmpl w:val="75885A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1612F"/>
    <w:multiLevelType w:val="hybridMultilevel"/>
    <w:tmpl w:val="9A5C55A2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2287E"/>
    <w:multiLevelType w:val="hybridMultilevel"/>
    <w:tmpl w:val="12220326"/>
    <w:lvl w:ilvl="0" w:tplc="102CA86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35B7370"/>
    <w:multiLevelType w:val="hybridMultilevel"/>
    <w:tmpl w:val="CA92CF3E"/>
    <w:lvl w:ilvl="0" w:tplc="83F270B4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E29CC"/>
    <w:multiLevelType w:val="hybridMultilevel"/>
    <w:tmpl w:val="61124D8A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46495">
    <w:abstractNumId w:val="19"/>
  </w:num>
  <w:num w:numId="2" w16cid:durableId="1276906427">
    <w:abstractNumId w:val="27"/>
  </w:num>
  <w:num w:numId="3" w16cid:durableId="1907452683">
    <w:abstractNumId w:val="17"/>
  </w:num>
  <w:num w:numId="4" w16cid:durableId="951401867">
    <w:abstractNumId w:val="8"/>
  </w:num>
  <w:num w:numId="5" w16cid:durableId="344984866">
    <w:abstractNumId w:val="16"/>
  </w:num>
  <w:num w:numId="6" w16cid:durableId="467482192">
    <w:abstractNumId w:val="11"/>
  </w:num>
  <w:num w:numId="7" w16cid:durableId="260143104">
    <w:abstractNumId w:val="25"/>
  </w:num>
  <w:num w:numId="8" w16cid:durableId="801769376">
    <w:abstractNumId w:val="1"/>
  </w:num>
  <w:num w:numId="9" w16cid:durableId="1918055393">
    <w:abstractNumId w:val="13"/>
  </w:num>
  <w:num w:numId="10" w16cid:durableId="404691611">
    <w:abstractNumId w:val="20"/>
  </w:num>
  <w:num w:numId="11" w16cid:durableId="1909685983">
    <w:abstractNumId w:val="4"/>
  </w:num>
  <w:num w:numId="12" w16cid:durableId="1890149384">
    <w:abstractNumId w:val="31"/>
  </w:num>
  <w:num w:numId="13" w16cid:durableId="559052674">
    <w:abstractNumId w:val="32"/>
  </w:num>
  <w:num w:numId="14" w16cid:durableId="8916137">
    <w:abstractNumId w:val="34"/>
  </w:num>
  <w:num w:numId="15" w16cid:durableId="1448623114">
    <w:abstractNumId w:val="29"/>
  </w:num>
  <w:num w:numId="16" w16cid:durableId="368916452">
    <w:abstractNumId w:val="26"/>
  </w:num>
  <w:num w:numId="17" w16cid:durableId="148689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021347">
    <w:abstractNumId w:val="28"/>
  </w:num>
  <w:num w:numId="19" w16cid:durableId="45567265">
    <w:abstractNumId w:val="10"/>
  </w:num>
  <w:num w:numId="20" w16cid:durableId="160699032">
    <w:abstractNumId w:val="2"/>
  </w:num>
  <w:num w:numId="21" w16cid:durableId="1798449623">
    <w:abstractNumId w:val="33"/>
  </w:num>
  <w:num w:numId="22" w16cid:durableId="1982929471">
    <w:abstractNumId w:val="9"/>
  </w:num>
  <w:num w:numId="23" w16cid:durableId="1698894923">
    <w:abstractNumId w:val="22"/>
  </w:num>
  <w:num w:numId="24" w16cid:durableId="1984388145">
    <w:abstractNumId w:val="23"/>
  </w:num>
  <w:num w:numId="25" w16cid:durableId="1892576542">
    <w:abstractNumId w:val="30"/>
  </w:num>
  <w:num w:numId="26" w16cid:durableId="2141072927">
    <w:abstractNumId w:val="7"/>
  </w:num>
  <w:num w:numId="27" w16cid:durableId="657882487">
    <w:abstractNumId w:val="12"/>
  </w:num>
  <w:num w:numId="28" w16cid:durableId="1987203340">
    <w:abstractNumId w:val="3"/>
  </w:num>
  <w:num w:numId="29" w16cid:durableId="1976717305">
    <w:abstractNumId w:val="24"/>
  </w:num>
  <w:num w:numId="30" w16cid:durableId="93943479">
    <w:abstractNumId w:val="5"/>
  </w:num>
  <w:num w:numId="31" w16cid:durableId="222104362">
    <w:abstractNumId w:val="0"/>
  </w:num>
  <w:num w:numId="32" w16cid:durableId="426656215">
    <w:abstractNumId w:val="21"/>
  </w:num>
  <w:num w:numId="33" w16cid:durableId="877661967">
    <w:abstractNumId w:val="6"/>
  </w:num>
  <w:num w:numId="34" w16cid:durableId="1844664458">
    <w:abstractNumId w:val="18"/>
  </w:num>
  <w:num w:numId="35" w16cid:durableId="815605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3B"/>
    <w:rsid w:val="00000B5D"/>
    <w:rsid w:val="00000D69"/>
    <w:rsid w:val="00001226"/>
    <w:rsid w:val="00004B5C"/>
    <w:rsid w:val="0000741F"/>
    <w:rsid w:val="000076E3"/>
    <w:rsid w:val="00010D18"/>
    <w:rsid w:val="00012FF1"/>
    <w:rsid w:val="0001359F"/>
    <w:rsid w:val="00017B1C"/>
    <w:rsid w:val="000208AF"/>
    <w:rsid w:val="00022D50"/>
    <w:rsid w:val="00023472"/>
    <w:rsid w:val="00023B1D"/>
    <w:rsid w:val="00024747"/>
    <w:rsid w:val="00027858"/>
    <w:rsid w:val="000301EA"/>
    <w:rsid w:val="00030A4E"/>
    <w:rsid w:val="00031B3C"/>
    <w:rsid w:val="00032F8D"/>
    <w:rsid w:val="00033E59"/>
    <w:rsid w:val="00034721"/>
    <w:rsid w:val="00034AFC"/>
    <w:rsid w:val="00036308"/>
    <w:rsid w:val="00037B71"/>
    <w:rsid w:val="00040827"/>
    <w:rsid w:val="00040CF4"/>
    <w:rsid w:val="0004160F"/>
    <w:rsid w:val="00042F50"/>
    <w:rsid w:val="0004313A"/>
    <w:rsid w:val="0004524C"/>
    <w:rsid w:val="0004654F"/>
    <w:rsid w:val="00047CD4"/>
    <w:rsid w:val="0005000A"/>
    <w:rsid w:val="00050675"/>
    <w:rsid w:val="00052A07"/>
    <w:rsid w:val="00052E61"/>
    <w:rsid w:val="000539B9"/>
    <w:rsid w:val="0005579F"/>
    <w:rsid w:val="00055F4D"/>
    <w:rsid w:val="00060269"/>
    <w:rsid w:val="00060494"/>
    <w:rsid w:val="00060610"/>
    <w:rsid w:val="0006097E"/>
    <w:rsid w:val="0006114F"/>
    <w:rsid w:val="000619BC"/>
    <w:rsid w:val="00063EC4"/>
    <w:rsid w:val="00065659"/>
    <w:rsid w:val="000665D3"/>
    <w:rsid w:val="00067081"/>
    <w:rsid w:val="00070089"/>
    <w:rsid w:val="000704D3"/>
    <w:rsid w:val="000711C1"/>
    <w:rsid w:val="000717E6"/>
    <w:rsid w:val="000735CA"/>
    <w:rsid w:val="00075757"/>
    <w:rsid w:val="000757D3"/>
    <w:rsid w:val="00075AE2"/>
    <w:rsid w:val="00076159"/>
    <w:rsid w:val="00077130"/>
    <w:rsid w:val="00077C4F"/>
    <w:rsid w:val="00080BA2"/>
    <w:rsid w:val="00084EE5"/>
    <w:rsid w:val="000855FA"/>
    <w:rsid w:val="0008629D"/>
    <w:rsid w:val="000900E4"/>
    <w:rsid w:val="00090253"/>
    <w:rsid w:val="00090269"/>
    <w:rsid w:val="00091004"/>
    <w:rsid w:val="000914D5"/>
    <w:rsid w:val="00091FBB"/>
    <w:rsid w:val="00092B6C"/>
    <w:rsid w:val="00096700"/>
    <w:rsid w:val="000A1B9A"/>
    <w:rsid w:val="000A23E9"/>
    <w:rsid w:val="000A2BAC"/>
    <w:rsid w:val="000A4793"/>
    <w:rsid w:val="000B0FCC"/>
    <w:rsid w:val="000B1723"/>
    <w:rsid w:val="000B5F68"/>
    <w:rsid w:val="000B76F2"/>
    <w:rsid w:val="000B7A40"/>
    <w:rsid w:val="000C013F"/>
    <w:rsid w:val="000C23CD"/>
    <w:rsid w:val="000C3674"/>
    <w:rsid w:val="000C4B91"/>
    <w:rsid w:val="000C5D3E"/>
    <w:rsid w:val="000C7A37"/>
    <w:rsid w:val="000D0449"/>
    <w:rsid w:val="000D367D"/>
    <w:rsid w:val="000D3E0D"/>
    <w:rsid w:val="000D4582"/>
    <w:rsid w:val="000E167B"/>
    <w:rsid w:val="000E2010"/>
    <w:rsid w:val="000E2808"/>
    <w:rsid w:val="000E3447"/>
    <w:rsid w:val="000E3A36"/>
    <w:rsid w:val="000E7090"/>
    <w:rsid w:val="000E7BED"/>
    <w:rsid w:val="000F067F"/>
    <w:rsid w:val="000F6909"/>
    <w:rsid w:val="000F6E20"/>
    <w:rsid w:val="001005F8"/>
    <w:rsid w:val="001018C4"/>
    <w:rsid w:val="001028CA"/>
    <w:rsid w:val="001036BB"/>
    <w:rsid w:val="00103EF2"/>
    <w:rsid w:val="001041EC"/>
    <w:rsid w:val="00105000"/>
    <w:rsid w:val="00106EFD"/>
    <w:rsid w:val="00113697"/>
    <w:rsid w:val="001165B2"/>
    <w:rsid w:val="00120ECC"/>
    <w:rsid w:val="00122EE3"/>
    <w:rsid w:val="001230C0"/>
    <w:rsid w:val="00123184"/>
    <w:rsid w:val="00123FC4"/>
    <w:rsid w:val="00124DF6"/>
    <w:rsid w:val="00125133"/>
    <w:rsid w:val="00127E90"/>
    <w:rsid w:val="0013180E"/>
    <w:rsid w:val="001331FC"/>
    <w:rsid w:val="0013486E"/>
    <w:rsid w:val="00134A2C"/>
    <w:rsid w:val="00135CF1"/>
    <w:rsid w:val="0013773A"/>
    <w:rsid w:val="00137A49"/>
    <w:rsid w:val="00142893"/>
    <w:rsid w:val="00143379"/>
    <w:rsid w:val="00144876"/>
    <w:rsid w:val="00147C75"/>
    <w:rsid w:val="0015111D"/>
    <w:rsid w:val="001519FE"/>
    <w:rsid w:val="001533EB"/>
    <w:rsid w:val="001544CB"/>
    <w:rsid w:val="00156837"/>
    <w:rsid w:val="00156C0E"/>
    <w:rsid w:val="00162711"/>
    <w:rsid w:val="00163106"/>
    <w:rsid w:val="00163787"/>
    <w:rsid w:val="00163AFA"/>
    <w:rsid w:val="00163E1C"/>
    <w:rsid w:val="001642FB"/>
    <w:rsid w:val="001647EB"/>
    <w:rsid w:val="001650A9"/>
    <w:rsid w:val="00170380"/>
    <w:rsid w:val="00172295"/>
    <w:rsid w:val="00173260"/>
    <w:rsid w:val="00173E65"/>
    <w:rsid w:val="00174767"/>
    <w:rsid w:val="00175D4D"/>
    <w:rsid w:val="00176733"/>
    <w:rsid w:val="0017699E"/>
    <w:rsid w:val="00181329"/>
    <w:rsid w:val="0018276B"/>
    <w:rsid w:val="00182DFD"/>
    <w:rsid w:val="001851FE"/>
    <w:rsid w:val="00186416"/>
    <w:rsid w:val="001867AF"/>
    <w:rsid w:val="00186E3A"/>
    <w:rsid w:val="00190277"/>
    <w:rsid w:val="00190883"/>
    <w:rsid w:val="001935CF"/>
    <w:rsid w:val="00193683"/>
    <w:rsid w:val="00195BD0"/>
    <w:rsid w:val="00196A75"/>
    <w:rsid w:val="001978E4"/>
    <w:rsid w:val="001A283B"/>
    <w:rsid w:val="001A2A63"/>
    <w:rsid w:val="001A3756"/>
    <w:rsid w:val="001A3C82"/>
    <w:rsid w:val="001A63EC"/>
    <w:rsid w:val="001B0035"/>
    <w:rsid w:val="001B0CBF"/>
    <w:rsid w:val="001B214B"/>
    <w:rsid w:val="001B634A"/>
    <w:rsid w:val="001B6921"/>
    <w:rsid w:val="001C3194"/>
    <w:rsid w:val="001C4977"/>
    <w:rsid w:val="001C5098"/>
    <w:rsid w:val="001C61B6"/>
    <w:rsid w:val="001C7156"/>
    <w:rsid w:val="001C7708"/>
    <w:rsid w:val="001C78BA"/>
    <w:rsid w:val="001D1657"/>
    <w:rsid w:val="001D1D77"/>
    <w:rsid w:val="001D2091"/>
    <w:rsid w:val="001D4623"/>
    <w:rsid w:val="001D7409"/>
    <w:rsid w:val="001D74CA"/>
    <w:rsid w:val="001D7D9F"/>
    <w:rsid w:val="001D7F37"/>
    <w:rsid w:val="001E0932"/>
    <w:rsid w:val="001E3148"/>
    <w:rsid w:val="001E334D"/>
    <w:rsid w:val="001E3D2C"/>
    <w:rsid w:val="001E6D14"/>
    <w:rsid w:val="001F1178"/>
    <w:rsid w:val="001F18BE"/>
    <w:rsid w:val="001F2691"/>
    <w:rsid w:val="001F308B"/>
    <w:rsid w:val="001F6391"/>
    <w:rsid w:val="001F7815"/>
    <w:rsid w:val="00200A18"/>
    <w:rsid w:val="00200F27"/>
    <w:rsid w:val="00202876"/>
    <w:rsid w:val="0020289D"/>
    <w:rsid w:val="00202BFC"/>
    <w:rsid w:val="00204F96"/>
    <w:rsid w:val="00205607"/>
    <w:rsid w:val="0020609C"/>
    <w:rsid w:val="0020767A"/>
    <w:rsid w:val="00211938"/>
    <w:rsid w:val="002146BF"/>
    <w:rsid w:val="00214C97"/>
    <w:rsid w:val="00215EE6"/>
    <w:rsid w:val="0021732E"/>
    <w:rsid w:val="002179DA"/>
    <w:rsid w:val="0022315A"/>
    <w:rsid w:val="002240CD"/>
    <w:rsid w:val="00226C01"/>
    <w:rsid w:val="002323C4"/>
    <w:rsid w:val="0023387A"/>
    <w:rsid w:val="00237655"/>
    <w:rsid w:val="002400F1"/>
    <w:rsid w:val="002412D9"/>
    <w:rsid w:val="002433C2"/>
    <w:rsid w:val="00243547"/>
    <w:rsid w:val="002501FC"/>
    <w:rsid w:val="00251E74"/>
    <w:rsid w:val="0025332F"/>
    <w:rsid w:val="002547A4"/>
    <w:rsid w:val="0025743F"/>
    <w:rsid w:val="00260F8D"/>
    <w:rsid w:val="00261F9F"/>
    <w:rsid w:val="00264CBA"/>
    <w:rsid w:val="002706B7"/>
    <w:rsid w:val="00271D56"/>
    <w:rsid w:val="00273F96"/>
    <w:rsid w:val="002753E7"/>
    <w:rsid w:val="00276267"/>
    <w:rsid w:val="002777B7"/>
    <w:rsid w:val="0028354E"/>
    <w:rsid w:val="00285406"/>
    <w:rsid w:val="002858B5"/>
    <w:rsid w:val="0028692F"/>
    <w:rsid w:val="00286D63"/>
    <w:rsid w:val="00287F9A"/>
    <w:rsid w:val="00290933"/>
    <w:rsid w:val="002932EA"/>
    <w:rsid w:val="002935A2"/>
    <w:rsid w:val="002946DB"/>
    <w:rsid w:val="002963E3"/>
    <w:rsid w:val="002972B5"/>
    <w:rsid w:val="00297B4B"/>
    <w:rsid w:val="00297E8F"/>
    <w:rsid w:val="002A1338"/>
    <w:rsid w:val="002A5BBC"/>
    <w:rsid w:val="002A6241"/>
    <w:rsid w:val="002A6445"/>
    <w:rsid w:val="002B0D14"/>
    <w:rsid w:val="002B2EB7"/>
    <w:rsid w:val="002B411B"/>
    <w:rsid w:val="002B4738"/>
    <w:rsid w:val="002B483D"/>
    <w:rsid w:val="002B6796"/>
    <w:rsid w:val="002C0859"/>
    <w:rsid w:val="002C165B"/>
    <w:rsid w:val="002C2A6A"/>
    <w:rsid w:val="002C55B5"/>
    <w:rsid w:val="002C5F4F"/>
    <w:rsid w:val="002D01EA"/>
    <w:rsid w:val="002D174D"/>
    <w:rsid w:val="002D1DA9"/>
    <w:rsid w:val="002D2987"/>
    <w:rsid w:val="002D4A74"/>
    <w:rsid w:val="002D4EC3"/>
    <w:rsid w:val="002D6810"/>
    <w:rsid w:val="002E1174"/>
    <w:rsid w:val="002E2998"/>
    <w:rsid w:val="002E58DA"/>
    <w:rsid w:val="002E66D4"/>
    <w:rsid w:val="002F01FB"/>
    <w:rsid w:val="002F0342"/>
    <w:rsid w:val="002F0568"/>
    <w:rsid w:val="002F7FD4"/>
    <w:rsid w:val="0030046D"/>
    <w:rsid w:val="00300FEE"/>
    <w:rsid w:val="00305BF2"/>
    <w:rsid w:val="00305F98"/>
    <w:rsid w:val="003100AA"/>
    <w:rsid w:val="00311174"/>
    <w:rsid w:val="00313728"/>
    <w:rsid w:val="003179E8"/>
    <w:rsid w:val="00320DB1"/>
    <w:rsid w:val="0032169D"/>
    <w:rsid w:val="0032226F"/>
    <w:rsid w:val="00323A25"/>
    <w:rsid w:val="00323C33"/>
    <w:rsid w:val="00325E0D"/>
    <w:rsid w:val="00325E3E"/>
    <w:rsid w:val="00327544"/>
    <w:rsid w:val="003301CE"/>
    <w:rsid w:val="00330518"/>
    <w:rsid w:val="00330A5F"/>
    <w:rsid w:val="00330C89"/>
    <w:rsid w:val="003314CA"/>
    <w:rsid w:val="00333160"/>
    <w:rsid w:val="003342D5"/>
    <w:rsid w:val="00340A59"/>
    <w:rsid w:val="003410CF"/>
    <w:rsid w:val="00343D36"/>
    <w:rsid w:val="0034416A"/>
    <w:rsid w:val="0034526A"/>
    <w:rsid w:val="00345CC2"/>
    <w:rsid w:val="00346E9E"/>
    <w:rsid w:val="00350968"/>
    <w:rsid w:val="00350F3F"/>
    <w:rsid w:val="00351977"/>
    <w:rsid w:val="00351AB9"/>
    <w:rsid w:val="00352563"/>
    <w:rsid w:val="00353735"/>
    <w:rsid w:val="00354D2D"/>
    <w:rsid w:val="003553F5"/>
    <w:rsid w:val="00355477"/>
    <w:rsid w:val="003568D4"/>
    <w:rsid w:val="00360349"/>
    <w:rsid w:val="00360677"/>
    <w:rsid w:val="00364CCC"/>
    <w:rsid w:val="00366C35"/>
    <w:rsid w:val="00367420"/>
    <w:rsid w:val="00367DDD"/>
    <w:rsid w:val="00370277"/>
    <w:rsid w:val="003705BD"/>
    <w:rsid w:val="003706E3"/>
    <w:rsid w:val="003722FB"/>
    <w:rsid w:val="00374C62"/>
    <w:rsid w:val="003756C7"/>
    <w:rsid w:val="003818DC"/>
    <w:rsid w:val="0038199E"/>
    <w:rsid w:val="00382365"/>
    <w:rsid w:val="00384EB2"/>
    <w:rsid w:val="00385D91"/>
    <w:rsid w:val="00386CEA"/>
    <w:rsid w:val="00387380"/>
    <w:rsid w:val="00387FF3"/>
    <w:rsid w:val="00391E95"/>
    <w:rsid w:val="00392524"/>
    <w:rsid w:val="003940CA"/>
    <w:rsid w:val="00394594"/>
    <w:rsid w:val="00395553"/>
    <w:rsid w:val="00396AE0"/>
    <w:rsid w:val="003A0B53"/>
    <w:rsid w:val="003A1A57"/>
    <w:rsid w:val="003A2930"/>
    <w:rsid w:val="003A293D"/>
    <w:rsid w:val="003A517C"/>
    <w:rsid w:val="003A587D"/>
    <w:rsid w:val="003B0A82"/>
    <w:rsid w:val="003B0DD4"/>
    <w:rsid w:val="003B571A"/>
    <w:rsid w:val="003B745B"/>
    <w:rsid w:val="003C18FE"/>
    <w:rsid w:val="003C1B22"/>
    <w:rsid w:val="003C1E6F"/>
    <w:rsid w:val="003C3F22"/>
    <w:rsid w:val="003C3FFC"/>
    <w:rsid w:val="003C6410"/>
    <w:rsid w:val="003D1A30"/>
    <w:rsid w:val="003D1AD0"/>
    <w:rsid w:val="003D4377"/>
    <w:rsid w:val="003E3A7D"/>
    <w:rsid w:val="003E3EFD"/>
    <w:rsid w:val="003E41D5"/>
    <w:rsid w:val="003E449E"/>
    <w:rsid w:val="003E4DA3"/>
    <w:rsid w:val="003E75F2"/>
    <w:rsid w:val="003F123D"/>
    <w:rsid w:val="003F1BEF"/>
    <w:rsid w:val="003F3085"/>
    <w:rsid w:val="003F37D5"/>
    <w:rsid w:val="003F4E94"/>
    <w:rsid w:val="003F6403"/>
    <w:rsid w:val="003F698C"/>
    <w:rsid w:val="0040022B"/>
    <w:rsid w:val="00402E63"/>
    <w:rsid w:val="00403141"/>
    <w:rsid w:val="00404A88"/>
    <w:rsid w:val="004056DB"/>
    <w:rsid w:val="004111A7"/>
    <w:rsid w:val="00412A4A"/>
    <w:rsid w:val="0041451D"/>
    <w:rsid w:val="004174F1"/>
    <w:rsid w:val="00417DE5"/>
    <w:rsid w:val="00420A15"/>
    <w:rsid w:val="00420A53"/>
    <w:rsid w:val="00422F7D"/>
    <w:rsid w:val="00424131"/>
    <w:rsid w:val="00424AC2"/>
    <w:rsid w:val="00426E62"/>
    <w:rsid w:val="0042787F"/>
    <w:rsid w:val="00430E5D"/>
    <w:rsid w:val="00431039"/>
    <w:rsid w:val="00431743"/>
    <w:rsid w:val="00431AEE"/>
    <w:rsid w:val="00432A48"/>
    <w:rsid w:val="00432E27"/>
    <w:rsid w:val="004339DA"/>
    <w:rsid w:val="0043508C"/>
    <w:rsid w:val="0043585F"/>
    <w:rsid w:val="00437BEB"/>
    <w:rsid w:val="00441E8C"/>
    <w:rsid w:val="004425E6"/>
    <w:rsid w:val="004441A7"/>
    <w:rsid w:val="00444778"/>
    <w:rsid w:val="00444E28"/>
    <w:rsid w:val="0045067A"/>
    <w:rsid w:val="0045175F"/>
    <w:rsid w:val="0045343B"/>
    <w:rsid w:val="00455548"/>
    <w:rsid w:val="00456B06"/>
    <w:rsid w:val="00461F93"/>
    <w:rsid w:val="00462517"/>
    <w:rsid w:val="00462DD4"/>
    <w:rsid w:val="00463E84"/>
    <w:rsid w:val="00465663"/>
    <w:rsid w:val="00467B10"/>
    <w:rsid w:val="004716BC"/>
    <w:rsid w:val="00471E2B"/>
    <w:rsid w:val="0047427F"/>
    <w:rsid w:val="00476649"/>
    <w:rsid w:val="00477153"/>
    <w:rsid w:val="00481BA1"/>
    <w:rsid w:val="00482D0C"/>
    <w:rsid w:val="004836E4"/>
    <w:rsid w:val="00484CDC"/>
    <w:rsid w:val="00484DE9"/>
    <w:rsid w:val="004859B9"/>
    <w:rsid w:val="0048761D"/>
    <w:rsid w:val="00487D93"/>
    <w:rsid w:val="0049127A"/>
    <w:rsid w:val="004919ED"/>
    <w:rsid w:val="004920E4"/>
    <w:rsid w:val="0049551D"/>
    <w:rsid w:val="004955BF"/>
    <w:rsid w:val="00495D99"/>
    <w:rsid w:val="00497014"/>
    <w:rsid w:val="00497793"/>
    <w:rsid w:val="004A0644"/>
    <w:rsid w:val="004A1232"/>
    <w:rsid w:val="004A2360"/>
    <w:rsid w:val="004A4047"/>
    <w:rsid w:val="004A478C"/>
    <w:rsid w:val="004A6FA3"/>
    <w:rsid w:val="004A74B4"/>
    <w:rsid w:val="004A7C68"/>
    <w:rsid w:val="004B0367"/>
    <w:rsid w:val="004B1D5A"/>
    <w:rsid w:val="004B20D9"/>
    <w:rsid w:val="004B44E3"/>
    <w:rsid w:val="004B500A"/>
    <w:rsid w:val="004C305E"/>
    <w:rsid w:val="004C5098"/>
    <w:rsid w:val="004C6F35"/>
    <w:rsid w:val="004D014E"/>
    <w:rsid w:val="004D08E5"/>
    <w:rsid w:val="004D136A"/>
    <w:rsid w:val="004D4459"/>
    <w:rsid w:val="004E0822"/>
    <w:rsid w:val="004E4807"/>
    <w:rsid w:val="004F08DE"/>
    <w:rsid w:val="004F0967"/>
    <w:rsid w:val="004F1190"/>
    <w:rsid w:val="004F1DE8"/>
    <w:rsid w:val="004F23F9"/>
    <w:rsid w:val="004F2D53"/>
    <w:rsid w:val="004F3846"/>
    <w:rsid w:val="004F567D"/>
    <w:rsid w:val="004F5BAC"/>
    <w:rsid w:val="004F6796"/>
    <w:rsid w:val="004F734C"/>
    <w:rsid w:val="004F7D68"/>
    <w:rsid w:val="005004A5"/>
    <w:rsid w:val="00501C5C"/>
    <w:rsid w:val="0050203C"/>
    <w:rsid w:val="00502945"/>
    <w:rsid w:val="00503B77"/>
    <w:rsid w:val="00503E35"/>
    <w:rsid w:val="005049D1"/>
    <w:rsid w:val="00505C91"/>
    <w:rsid w:val="0050606F"/>
    <w:rsid w:val="00510FCA"/>
    <w:rsid w:val="00511203"/>
    <w:rsid w:val="00513537"/>
    <w:rsid w:val="00514E3A"/>
    <w:rsid w:val="005202B8"/>
    <w:rsid w:val="00520368"/>
    <w:rsid w:val="00522330"/>
    <w:rsid w:val="00523497"/>
    <w:rsid w:val="00523FAD"/>
    <w:rsid w:val="00524E51"/>
    <w:rsid w:val="00531C60"/>
    <w:rsid w:val="005333A6"/>
    <w:rsid w:val="00533965"/>
    <w:rsid w:val="00534647"/>
    <w:rsid w:val="005346FF"/>
    <w:rsid w:val="0053661A"/>
    <w:rsid w:val="005371CE"/>
    <w:rsid w:val="005412E4"/>
    <w:rsid w:val="00542319"/>
    <w:rsid w:val="00544B7B"/>
    <w:rsid w:val="00544D00"/>
    <w:rsid w:val="005452E4"/>
    <w:rsid w:val="00547B41"/>
    <w:rsid w:val="0055121A"/>
    <w:rsid w:val="00553604"/>
    <w:rsid w:val="00553A7C"/>
    <w:rsid w:val="0055533C"/>
    <w:rsid w:val="00555AA1"/>
    <w:rsid w:val="00555E8F"/>
    <w:rsid w:val="00556928"/>
    <w:rsid w:val="00560ED1"/>
    <w:rsid w:val="005618E4"/>
    <w:rsid w:val="00563B5E"/>
    <w:rsid w:val="00563DB0"/>
    <w:rsid w:val="00565380"/>
    <w:rsid w:val="00565832"/>
    <w:rsid w:val="00566337"/>
    <w:rsid w:val="00570F89"/>
    <w:rsid w:val="00572206"/>
    <w:rsid w:val="00572F36"/>
    <w:rsid w:val="00573557"/>
    <w:rsid w:val="005749A6"/>
    <w:rsid w:val="00574C4C"/>
    <w:rsid w:val="0057701D"/>
    <w:rsid w:val="00580752"/>
    <w:rsid w:val="0058250F"/>
    <w:rsid w:val="0058524F"/>
    <w:rsid w:val="005853C1"/>
    <w:rsid w:val="00585423"/>
    <w:rsid w:val="00585AFA"/>
    <w:rsid w:val="005865D9"/>
    <w:rsid w:val="00586B60"/>
    <w:rsid w:val="00587AE9"/>
    <w:rsid w:val="0059001B"/>
    <w:rsid w:val="00591D29"/>
    <w:rsid w:val="00591F87"/>
    <w:rsid w:val="0059377E"/>
    <w:rsid w:val="005943FF"/>
    <w:rsid w:val="005956CC"/>
    <w:rsid w:val="00595D04"/>
    <w:rsid w:val="00596822"/>
    <w:rsid w:val="00596BA2"/>
    <w:rsid w:val="005A0105"/>
    <w:rsid w:val="005A0379"/>
    <w:rsid w:val="005A10D5"/>
    <w:rsid w:val="005A1366"/>
    <w:rsid w:val="005A3985"/>
    <w:rsid w:val="005A5233"/>
    <w:rsid w:val="005A6510"/>
    <w:rsid w:val="005A69C7"/>
    <w:rsid w:val="005A6FAE"/>
    <w:rsid w:val="005A74A1"/>
    <w:rsid w:val="005B2989"/>
    <w:rsid w:val="005B2AC7"/>
    <w:rsid w:val="005B3D14"/>
    <w:rsid w:val="005B3D4D"/>
    <w:rsid w:val="005B3DA0"/>
    <w:rsid w:val="005B3DB7"/>
    <w:rsid w:val="005B5B31"/>
    <w:rsid w:val="005B5F1B"/>
    <w:rsid w:val="005B64DA"/>
    <w:rsid w:val="005B6BAE"/>
    <w:rsid w:val="005C0281"/>
    <w:rsid w:val="005C0B7F"/>
    <w:rsid w:val="005C3EA9"/>
    <w:rsid w:val="005C4184"/>
    <w:rsid w:val="005C42F1"/>
    <w:rsid w:val="005C536C"/>
    <w:rsid w:val="005C70A7"/>
    <w:rsid w:val="005C7263"/>
    <w:rsid w:val="005D0BEA"/>
    <w:rsid w:val="005D1381"/>
    <w:rsid w:val="005D16DF"/>
    <w:rsid w:val="005D210E"/>
    <w:rsid w:val="005D254A"/>
    <w:rsid w:val="005D2B3F"/>
    <w:rsid w:val="005D2E5A"/>
    <w:rsid w:val="005D3687"/>
    <w:rsid w:val="005D4300"/>
    <w:rsid w:val="005D4DE1"/>
    <w:rsid w:val="005D54E3"/>
    <w:rsid w:val="005D5EC5"/>
    <w:rsid w:val="005D7192"/>
    <w:rsid w:val="005E0F41"/>
    <w:rsid w:val="005E2C57"/>
    <w:rsid w:val="005E5498"/>
    <w:rsid w:val="005E588D"/>
    <w:rsid w:val="005E5A22"/>
    <w:rsid w:val="005E7238"/>
    <w:rsid w:val="005E7ECD"/>
    <w:rsid w:val="005F05A7"/>
    <w:rsid w:val="005F1AB3"/>
    <w:rsid w:val="005F2050"/>
    <w:rsid w:val="005F3243"/>
    <w:rsid w:val="005F3F01"/>
    <w:rsid w:val="005F4E85"/>
    <w:rsid w:val="005F7998"/>
    <w:rsid w:val="00600139"/>
    <w:rsid w:val="0060043C"/>
    <w:rsid w:val="006026B9"/>
    <w:rsid w:val="006026E7"/>
    <w:rsid w:val="0061040B"/>
    <w:rsid w:val="00611677"/>
    <w:rsid w:val="00611BA7"/>
    <w:rsid w:val="00613CCE"/>
    <w:rsid w:val="00615D57"/>
    <w:rsid w:val="00615F6C"/>
    <w:rsid w:val="0061628A"/>
    <w:rsid w:val="00620998"/>
    <w:rsid w:val="006221F4"/>
    <w:rsid w:val="006226AA"/>
    <w:rsid w:val="00624567"/>
    <w:rsid w:val="00625C73"/>
    <w:rsid w:val="00625D94"/>
    <w:rsid w:val="006279A9"/>
    <w:rsid w:val="00631FCB"/>
    <w:rsid w:val="00633025"/>
    <w:rsid w:val="00633384"/>
    <w:rsid w:val="006335F5"/>
    <w:rsid w:val="00633AC6"/>
    <w:rsid w:val="00636ACC"/>
    <w:rsid w:val="00640069"/>
    <w:rsid w:val="00640B88"/>
    <w:rsid w:val="00640C12"/>
    <w:rsid w:val="006411E4"/>
    <w:rsid w:val="0064133C"/>
    <w:rsid w:val="00645721"/>
    <w:rsid w:val="00646481"/>
    <w:rsid w:val="00646FE6"/>
    <w:rsid w:val="00650EAA"/>
    <w:rsid w:val="00650EFA"/>
    <w:rsid w:val="0065446F"/>
    <w:rsid w:val="006563CF"/>
    <w:rsid w:val="0065719B"/>
    <w:rsid w:val="0066192D"/>
    <w:rsid w:val="00663CB9"/>
    <w:rsid w:val="00663D15"/>
    <w:rsid w:val="0066401A"/>
    <w:rsid w:val="006652D7"/>
    <w:rsid w:val="006658DC"/>
    <w:rsid w:val="00667C99"/>
    <w:rsid w:val="006709B3"/>
    <w:rsid w:val="00675501"/>
    <w:rsid w:val="006759A1"/>
    <w:rsid w:val="00676626"/>
    <w:rsid w:val="006775C1"/>
    <w:rsid w:val="00680AC4"/>
    <w:rsid w:val="00681CF5"/>
    <w:rsid w:val="006825B4"/>
    <w:rsid w:val="00682D25"/>
    <w:rsid w:val="00683720"/>
    <w:rsid w:val="00684228"/>
    <w:rsid w:val="00687A37"/>
    <w:rsid w:val="00687F0E"/>
    <w:rsid w:val="00690A48"/>
    <w:rsid w:val="0069121F"/>
    <w:rsid w:val="006919A7"/>
    <w:rsid w:val="00692A1C"/>
    <w:rsid w:val="006937D3"/>
    <w:rsid w:val="00693ECB"/>
    <w:rsid w:val="006948B5"/>
    <w:rsid w:val="00697A08"/>
    <w:rsid w:val="006A0590"/>
    <w:rsid w:val="006A3562"/>
    <w:rsid w:val="006A5C28"/>
    <w:rsid w:val="006A7984"/>
    <w:rsid w:val="006A7EED"/>
    <w:rsid w:val="006B01FC"/>
    <w:rsid w:val="006B0BB9"/>
    <w:rsid w:val="006B251D"/>
    <w:rsid w:val="006B455B"/>
    <w:rsid w:val="006B4D38"/>
    <w:rsid w:val="006B5B3E"/>
    <w:rsid w:val="006B67B8"/>
    <w:rsid w:val="006B6CB4"/>
    <w:rsid w:val="006B7B6F"/>
    <w:rsid w:val="006C063C"/>
    <w:rsid w:val="006C1A92"/>
    <w:rsid w:val="006C25DA"/>
    <w:rsid w:val="006C315A"/>
    <w:rsid w:val="006C3F7F"/>
    <w:rsid w:val="006C5911"/>
    <w:rsid w:val="006C5D77"/>
    <w:rsid w:val="006C7341"/>
    <w:rsid w:val="006D19DE"/>
    <w:rsid w:val="006D27B0"/>
    <w:rsid w:val="006D2B46"/>
    <w:rsid w:val="006D4671"/>
    <w:rsid w:val="006D4BF4"/>
    <w:rsid w:val="006D5263"/>
    <w:rsid w:val="006D5E42"/>
    <w:rsid w:val="006D6CB0"/>
    <w:rsid w:val="006D6FA3"/>
    <w:rsid w:val="006D7CD8"/>
    <w:rsid w:val="006E0707"/>
    <w:rsid w:val="006E0B0A"/>
    <w:rsid w:val="006E1D77"/>
    <w:rsid w:val="006E2D07"/>
    <w:rsid w:val="006F206F"/>
    <w:rsid w:val="006F2890"/>
    <w:rsid w:val="006F2D05"/>
    <w:rsid w:val="006F3CD0"/>
    <w:rsid w:val="006F45AF"/>
    <w:rsid w:val="006F69EC"/>
    <w:rsid w:val="006F7808"/>
    <w:rsid w:val="007013B1"/>
    <w:rsid w:val="00703026"/>
    <w:rsid w:val="00705829"/>
    <w:rsid w:val="00705BF7"/>
    <w:rsid w:val="00707301"/>
    <w:rsid w:val="00707F68"/>
    <w:rsid w:val="00710B86"/>
    <w:rsid w:val="00711D13"/>
    <w:rsid w:val="00711D30"/>
    <w:rsid w:val="00712313"/>
    <w:rsid w:val="007128B6"/>
    <w:rsid w:val="00713048"/>
    <w:rsid w:val="007157B0"/>
    <w:rsid w:val="00715E09"/>
    <w:rsid w:val="0071706B"/>
    <w:rsid w:val="00721720"/>
    <w:rsid w:val="00721DF9"/>
    <w:rsid w:val="0072223B"/>
    <w:rsid w:val="00722E71"/>
    <w:rsid w:val="00723678"/>
    <w:rsid w:val="007263FC"/>
    <w:rsid w:val="00726691"/>
    <w:rsid w:val="00726EAE"/>
    <w:rsid w:val="007272CB"/>
    <w:rsid w:val="0073034E"/>
    <w:rsid w:val="0073042B"/>
    <w:rsid w:val="00730F90"/>
    <w:rsid w:val="007331A2"/>
    <w:rsid w:val="00736594"/>
    <w:rsid w:val="007368B9"/>
    <w:rsid w:val="00736F57"/>
    <w:rsid w:val="007372A5"/>
    <w:rsid w:val="00737F9C"/>
    <w:rsid w:val="00740D33"/>
    <w:rsid w:val="007427AA"/>
    <w:rsid w:val="0074512D"/>
    <w:rsid w:val="00750BB5"/>
    <w:rsid w:val="00751113"/>
    <w:rsid w:val="007513CF"/>
    <w:rsid w:val="0075205E"/>
    <w:rsid w:val="007521BA"/>
    <w:rsid w:val="007565D3"/>
    <w:rsid w:val="007572B1"/>
    <w:rsid w:val="0076381B"/>
    <w:rsid w:val="00763E42"/>
    <w:rsid w:val="00764933"/>
    <w:rsid w:val="00764D88"/>
    <w:rsid w:val="00764E8C"/>
    <w:rsid w:val="0076587E"/>
    <w:rsid w:val="007662FE"/>
    <w:rsid w:val="00770DF6"/>
    <w:rsid w:val="007729E0"/>
    <w:rsid w:val="00772B28"/>
    <w:rsid w:val="007738A3"/>
    <w:rsid w:val="00774153"/>
    <w:rsid w:val="00780AA4"/>
    <w:rsid w:val="00781ECE"/>
    <w:rsid w:val="007832C2"/>
    <w:rsid w:val="0078472F"/>
    <w:rsid w:val="007856A2"/>
    <w:rsid w:val="007857C7"/>
    <w:rsid w:val="00785B03"/>
    <w:rsid w:val="007868C7"/>
    <w:rsid w:val="0078737F"/>
    <w:rsid w:val="00791540"/>
    <w:rsid w:val="007916DD"/>
    <w:rsid w:val="00792311"/>
    <w:rsid w:val="0079251D"/>
    <w:rsid w:val="00793140"/>
    <w:rsid w:val="00793BCC"/>
    <w:rsid w:val="007943FC"/>
    <w:rsid w:val="00794DFA"/>
    <w:rsid w:val="00795075"/>
    <w:rsid w:val="00797FB3"/>
    <w:rsid w:val="007A065E"/>
    <w:rsid w:val="007A183A"/>
    <w:rsid w:val="007A5F61"/>
    <w:rsid w:val="007A6C2A"/>
    <w:rsid w:val="007A7EDA"/>
    <w:rsid w:val="007C04C9"/>
    <w:rsid w:val="007C08A6"/>
    <w:rsid w:val="007C6747"/>
    <w:rsid w:val="007C752E"/>
    <w:rsid w:val="007C76D8"/>
    <w:rsid w:val="007C7FBC"/>
    <w:rsid w:val="007D0942"/>
    <w:rsid w:val="007D0D1A"/>
    <w:rsid w:val="007D203F"/>
    <w:rsid w:val="007D2E79"/>
    <w:rsid w:val="007D6644"/>
    <w:rsid w:val="007E0E84"/>
    <w:rsid w:val="007E4F34"/>
    <w:rsid w:val="007E541D"/>
    <w:rsid w:val="007E7C37"/>
    <w:rsid w:val="007F0377"/>
    <w:rsid w:val="007F0548"/>
    <w:rsid w:val="007F1705"/>
    <w:rsid w:val="007F2554"/>
    <w:rsid w:val="007F326E"/>
    <w:rsid w:val="007F34B1"/>
    <w:rsid w:val="007F40F6"/>
    <w:rsid w:val="007F52F1"/>
    <w:rsid w:val="007F6293"/>
    <w:rsid w:val="007F67F0"/>
    <w:rsid w:val="0080072B"/>
    <w:rsid w:val="00801D81"/>
    <w:rsid w:val="008030FD"/>
    <w:rsid w:val="00805B0F"/>
    <w:rsid w:val="00805BDD"/>
    <w:rsid w:val="00810801"/>
    <w:rsid w:val="0081252A"/>
    <w:rsid w:val="00815756"/>
    <w:rsid w:val="00815F94"/>
    <w:rsid w:val="0081665C"/>
    <w:rsid w:val="00821E24"/>
    <w:rsid w:val="00822287"/>
    <w:rsid w:val="00825B93"/>
    <w:rsid w:val="008267DE"/>
    <w:rsid w:val="008269F1"/>
    <w:rsid w:val="00831215"/>
    <w:rsid w:val="00831BCE"/>
    <w:rsid w:val="00831F87"/>
    <w:rsid w:val="00832BF5"/>
    <w:rsid w:val="00832EC0"/>
    <w:rsid w:val="00833663"/>
    <w:rsid w:val="0083565C"/>
    <w:rsid w:val="008360D4"/>
    <w:rsid w:val="008420EA"/>
    <w:rsid w:val="008425BA"/>
    <w:rsid w:val="00843934"/>
    <w:rsid w:val="008444A6"/>
    <w:rsid w:val="0084451D"/>
    <w:rsid w:val="00844DD6"/>
    <w:rsid w:val="00846B3C"/>
    <w:rsid w:val="00850481"/>
    <w:rsid w:val="00850CBF"/>
    <w:rsid w:val="008512BC"/>
    <w:rsid w:val="008530D5"/>
    <w:rsid w:val="008554E2"/>
    <w:rsid w:val="0085669D"/>
    <w:rsid w:val="008573F7"/>
    <w:rsid w:val="00857978"/>
    <w:rsid w:val="0086054D"/>
    <w:rsid w:val="00860AF1"/>
    <w:rsid w:val="008675C6"/>
    <w:rsid w:val="00867B76"/>
    <w:rsid w:val="00867BD1"/>
    <w:rsid w:val="00867F92"/>
    <w:rsid w:val="00870329"/>
    <w:rsid w:val="00871BFB"/>
    <w:rsid w:val="00874437"/>
    <w:rsid w:val="00880C07"/>
    <w:rsid w:val="00880C71"/>
    <w:rsid w:val="0088114B"/>
    <w:rsid w:val="00882422"/>
    <w:rsid w:val="008829C6"/>
    <w:rsid w:val="008840F7"/>
    <w:rsid w:val="008845F9"/>
    <w:rsid w:val="00885160"/>
    <w:rsid w:val="00886658"/>
    <w:rsid w:val="008873AA"/>
    <w:rsid w:val="00887A36"/>
    <w:rsid w:val="00887BAD"/>
    <w:rsid w:val="008914CC"/>
    <w:rsid w:val="00895BDC"/>
    <w:rsid w:val="008963C5"/>
    <w:rsid w:val="0089738A"/>
    <w:rsid w:val="00897E0B"/>
    <w:rsid w:val="008A034F"/>
    <w:rsid w:val="008A2673"/>
    <w:rsid w:val="008A2A7D"/>
    <w:rsid w:val="008A395C"/>
    <w:rsid w:val="008A3AAD"/>
    <w:rsid w:val="008A40BC"/>
    <w:rsid w:val="008A49A6"/>
    <w:rsid w:val="008B33DE"/>
    <w:rsid w:val="008B38A4"/>
    <w:rsid w:val="008B392B"/>
    <w:rsid w:val="008B3C0A"/>
    <w:rsid w:val="008B7B89"/>
    <w:rsid w:val="008C0304"/>
    <w:rsid w:val="008C1020"/>
    <w:rsid w:val="008C38C6"/>
    <w:rsid w:val="008C3969"/>
    <w:rsid w:val="008C4027"/>
    <w:rsid w:val="008C42DF"/>
    <w:rsid w:val="008C49C8"/>
    <w:rsid w:val="008C6542"/>
    <w:rsid w:val="008C6994"/>
    <w:rsid w:val="008D0545"/>
    <w:rsid w:val="008D156D"/>
    <w:rsid w:val="008D2A15"/>
    <w:rsid w:val="008D36FF"/>
    <w:rsid w:val="008D4786"/>
    <w:rsid w:val="008D4C3B"/>
    <w:rsid w:val="008D5865"/>
    <w:rsid w:val="008D5B71"/>
    <w:rsid w:val="008D65A9"/>
    <w:rsid w:val="008D76EC"/>
    <w:rsid w:val="008D7E79"/>
    <w:rsid w:val="008E0772"/>
    <w:rsid w:val="008E14CF"/>
    <w:rsid w:val="008E14F0"/>
    <w:rsid w:val="008E197F"/>
    <w:rsid w:val="008E2956"/>
    <w:rsid w:val="008E43F6"/>
    <w:rsid w:val="008F064B"/>
    <w:rsid w:val="008F3B09"/>
    <w:rsid w:val="008F6ADE"/>
    <w:rsid w:val="00901359"/>
    <w:rsid w:val="0090234D"/>
    <w:rsid w:val="00905021"/>
    <w:rsid w:val="009056CC"/>
    <w:rsid w:val="00910065"/>
    <w:rsid w:val="00910983"/>
    <w:rsid w:val="0091099E"/>
    <w:rsid w:val="00911D7F"/>
    <w:rsid w:val="00914658"/>
    <w:rsid w:val="00916328"/>
    <w:rsid w:val="00916BEF"/>
    <w:rsid w:val="00916D1C"/>
    <w:rsid w:val="00921D2D"/>
    <w:rsid w:val="00922346"/>
    <w:rsid w:val="00923030"/>
    <w:rsid w:val="00923104"/>
    <w:rsid w:val="0092322E"/>
    <w:rsid w:val="00923DC8"/>
    <w:rsid w:val="0092412B"/>
    <w:rsid w:val="009259EB"/>
    <w:rsid w:val="009269DA"/>
    <w:rsid w:val="009304F3"/>
    <w:rsid w:val="009305EC"/>
    <w:rsid w:val="009341FD"/>
    <w:rsid w:val="00934444"/>
    <w:rsid w:val="00934B6B"/>
    <w:rsid w:val="009374DE"/>
    <w:rsid w:val="009379CB"/>
    <w:rsid w:val="00940737"/>
    <w:rsid w:val="00941285"/>
    <w:rsid w:val="00941CF1"/>
    <w:rsid w:val="0094317E"/>
    <w:rsid w:val="0094466D"/>
    <w:rsid w:val="00945052"/>
    <w:rsid w:val="00945C87"/>
    <w:rsid w:val="009509FC"/>
    <w:rsid w:val="00954E8C"/>
    <w:rsid w:val="009629D7"/>
    <w:rsid w:val="0096301D"/>
    <w:rsid w:val="0096534C"/>
    <w:rsid w:val="0096668E"/>
    <w:rsid w:val="00966ADA"/>
    <w:rsid w:val="0096747D"/>
    <w:rsid w:val="009700C3"/>
    <w:rsid w:val="009709CF"/>
    <w:rsid w:val="0097222B"/>
    <w:rsid w:val="009727C0"/>
    <w:rsid w:val="0097316F"/>
    <w:rsid w:val="0097548E"/>
    <w:rsid w:val="00977C1F"/>
    <w:rsid w:val="00981231"/>
    <w:rsid w:val="00981415"/>
    <w:rsid w:val="0098224E"/>
    <w:rsid w:val="009824EF"/>
    <w:rsid w:val="00983985"/>
    <w:rsid w:val="0098450F"/>
    <w:rsid w:val="00992392"/>
    <w:rsid w:val="00992571"/>
    <w:rsid w:val="0099373A"/>
    <w:rsid w:val="009954FB"/>
    <w:rsid w:val="00997180"/>
    <w:rsid w:val="00997A58"/>
    <w:rsid w:val="009A1CE8"/>
    <w:rsid w:val="009A20E3"/>
    <w:rsid w:val="009A3254"/>
    <w:rsid w:val="009A44C2"/>
    <w:rsid w:val="009A4725"/>
    <w:rsid w:val="009A7408"/>
    <w:rsid w:val="009A777A"/>
    <w:rsid w:val="009A79BC"/>
    <w:rsid w:val="009B1FB8"/>
    <w:rsid w:val="009B5B37"/>
    <w:rsid w:val="009B6B44"/>
    <w:rsid w:val="009B74CC"/>
    <w:rsid w:val="009C1F67"/>
    <w:rsid w:val="009C2BE3"/>
    <w:rsid w:val="009C4900"/>
    <w:rsid w:val="009C5007"/>
    <w:rsid w:val="009C6452"/>
    <w:rsid w:val="009D2C98"/>
    <w:rsid w:val="009D3077"/>
    <w:rsid w:val="009D3FA7"/>
    <w:rsid w:val="009D4782"/>
    <w:rsid w:val="009D4DF5"/>
    <w:rsid w:val="009D7930"/>
    <w:rsid w:val="009E086D"/>
    <w:rsid w:val="009E14E3"/>
    <w:rsid w:val="009E1582"/>
    <w:rsid w:val="009E29A6"/>
    <w:rsid w:val="009E3EE6"/>
    <w:rsid w:val="009E4E3A"/>
    <w:rsid w:val="009E51EC"/>
    <w:rsid w:val="009E69EE"/>
    <w:rsid w:val="009E6A7E"/>
    <w:rsid w:val="009E79CC"/>
    <w:rsid w:val="009E7B33"/>
    <w:rsid w:val="009F0DB9"/>
    <w:rsid w:val="009F27AC"/>
    <w:rsid w:val="009F29C2"/>
    <w:rsid w:val="009F32DC"/>
    <w:rsid w:val="009F3B98"/>
    <w:rsid w:val="009F416B"/>
    <w:rsid w:val="009F4199"/>
    <w:rsid w:val="009F4EA6"/>
    <w:rsid w:val="009F7645"/>
    <w:rsid w:val="009F79B3"/>
    <w:rsid w:val="00A022C2"/>
    <w:rsid w:val="00A0285A"/>
    <w:rsid w:val="00A03E87"/>
    <w:rsid w:val="00A04B57"/>
    <w:rsid w:val="00A04EDF"/>
    <w:rsid w:val="00A0508B"/>
    <w:rsid w:val="00A06B3B"/>
    <w:rsid w:val="00A078EB"/>
    <w:rsid w:val="00A100C5"/>
    <w:rsid w:val="00A109B9"/>
    <w:rsid w:val="00A1114C"/>
    <w:rsid w:val="00A128FB"/>
    <w:rsid w:val="00A135C0"/>
    <w:rsid w:val="00A13B33"/>
    <w:rsid w:val="00A159CA"/>
    <w:rsid w:val="00A20219"/>
    <w:rsid w:val="00A2307B"/>
    <w:rsid w:val="00A23DC8"/>
    <w:rsid w:val="00A25942"/>
    <w:rsid w:val="00A25DD1"/>
    <w:rsid w:val="00A262B7"/>
    <w:rsid w:val="00A30122"/>
    <w:rsid w:val="00A31782"/>
    <w:rsid w:val="00A334FD"/>
    <w:rsid w:val="00A3481D"/>
    <w:rsid w:val="00A34917"/>
    <w:rsid w:val="00A34F27"/>
    <w:rsid w:val="00A368AA"/>
    <w:rsid w:val="00A369A0"/>
    <w:rsid w:val="00A372EA"/>
    <w:rsid w:val="00A374B6"/>
    <w:rsid w:val="00A408B3"/>
    <w:rsid w:val="00A411CE"/>
    <w:rsid w:val="00A41AB3"/>
    <w:rsid w:val="00A42063"/>
    <w:rsid w:val="00A4269A"/>
    <w:rsid w:val="00A43A78"/>
    <w:rsid w:val="00A448B3"/>
    <w:rsid w:val="00A4496E"/>
    <w:rsid w:val="00A50837"/>
    <w:rsid w:val="00A51939"/>
    <w:rsid w:val="00A53222"/>
    <w:rsid w:val="00A5404E"/>
    <w:rsid w:val="00A56390"/>
    <w:rsid w:val="00A56725"/>
    <w:rsid w:val="00A56830"/>
    <w:rsid w:val="00A56BCF"/>
    <w:rsid w:val="00A60571"/>
    <w:rsid w:val="00A605C2"/>
    <w:rsid w:val="00A60825"/>
    <w:rsid w:val="00A60E03"/>
    <w:rsid w:val="00A62AA4"/>
    <w:rsid w:val="00A63965"/>
    <w:rsid w:val="00A63DA3"/>
    <w:rsid w:val="00A64867"/>
    <w:rsid w:val="00A64870"/>
    <w:rsid w:val="00A709F6"/>
    <w:rsid w:val="00A7152C"/>
    <w:rsid w:val="00A7156D"/>
    <w:rsid w:val="00A75171"/>
    <w:rsid w:val="00A75D95"/>
    <w:rsid w:val="00A75E1B"/>
    <w:rsid w:val="00A76070"/>
    <w:rsid w:val="00A77052"/>
    <w:rsid w:val="00A805BC"/>
    <w:rsid w:val="00A81D8E"/>
    <w:rsid w:val="00A84A75"/>
    <w:rsid w:val="00A8562C"/>
    <w:rsid w:val="00A85B26"/>
    <w:rsid w:val="00A85D23"/>
    <w:rsid w:val="00A86C09"/>
    <w:rsid w:val="00A86FCD"/>
    <w:rsid w:val="00A876D3"/>
    <w:rsid w:val="00A908BB"/>
    <w:rsid w:val="00A9434A"/>
    <w:rsid w:val="00A94F1C"/>
    <w:rsid w:val="00A96493"/>
    <w:rsid w:val="00A96C20"/>
    <w:rsid w:val="00A97DCD"/>
    <w:rsid w:val="00AA4707"/>
    <w:rsid w:val="00AA52F1"/>
    <w:rsid w:val="00AA5C35"/>
    <w:rsid w:val="00AA758F"/>
    <w:rsid w:val="00AA7F29"/>
    <w:rsid w:val="00AB1F8C"/>
    <w:rsid w:val="00AB246C"/>
    <w:rsid w:val="00AB328D"/>
    <w:rsid w:val="00AB4C6B"/>
    <w:rsid w:val="00AB6F22"/>
    <w:rsid w:val="00AB7A1B"/>
    <w:rsid w:val="00AB7DEE"/>
    <w:rsid w:val="00AC0A0C"/>
    <w:rsid w:val="00AC1335"/>
    <w:rsid w:val="00AC344F"/>
    <w:rsid w:val="00AC447C"/>
    <w:rsid w:val="00AD0A49"/>
    <w:rsid w:val="00AD108F"/>
    <w:rsid w:val="00AD11A6"/>
    <w:rsid w:val="00AD1EB3"/>
    <w:rsid w:val="00AD2B2F"/>
    <w:rsid w:val="00AD3DB7"/>
    <w:rsid w:val="00AD77D2"/>
    <w:rsid w:val="00AE0086"/>
    <w:rsid w:val="00AE02FD"/>
    <w:rsid w:val="00AE1669"/>
    <w:rsid w:val="00AE1C15"/>
    <w:rsid w:val="00AE1D1C"/>
    <w:rsid w:val="00AE1D70"/>
    <w:rsid w:val="00AE2968"/>
    <w:rsid w:val="00AE36F2"/>
    <w:rsid w:val="00AE4104"/>
    <w:rsid w:val="00AE5735"/>
    <w:rsid w:val="00AE64E1"/>
    <w:rsid w:val="00AF0191"/>
    <w:rsid w:val="00AF0316"/>
    <w:rsid w:val="00AF118E"/>
    <w:rsid w:val="00AF1DE3"/>
    <w:rsid w:val="00AF5CD8"/>
    <w:rsid w:val="00AF601E"/>
    <w:rsid w:val="00AF78CA"/>
    <w:rsid w:val="00B00240"/>
    <w:rsid w:val="00B00693"/>
    <w:rsid w:val="00B010A3"/>
    <w:rsid w:val="00B01E1E"/>
    <w:rsid w:val="00B01FF4"/>
    <w:rsid w:val="00B03922"/>
    <w:rsid w:val="00B03D62"/>
    <w:rsid w:val="00B04320"/>
    <w:rsid w:val="00B0704B"/>
    <w:rsid w:val="00B07CD8"/>
    <w:rsid w:val="00B1053E"/>
    <w:rsid w:val="00B10B79"/>
    <w:rsid w:val="00B117A8"/>
    <w:rsid w:val="00B11DF4"/>
    <w:rsid w:val="00B140F8"/>
    <w:rsid w:val="00B146E4"/>
    <w:rsid w:val="00B1553B"/>
    <w:rsid w:val="00B176E7"/>
    <w:rsid w:val="00B17810"/>
    <w:rsid w:val="00B17D0A"/>
    <w:rsid w:val="00B24154"/>
    <w:rsid w:val="00B25214"/>
    <w:rsid w:val="00B2588C"/>
    <w:rsid w:val="00B305C5"/>
    <w:rsid w:val="00B307B6"/>
    <w:rsid w:val="00B30BCD"/>
    <w:rsid w:val="00B31602"/>
    <w:rsid w:val="00B32177"/>
    <w:rsid w:val="00B357B7"/>
    <w:rsid w:val="00B40514"/>
    <w:rsid w:val="00B40CCF"/>
    <w:rsid w:val="00B421E6"/>
    <w:rsid w:val="00B427A3"/>
    <w:rsid w:val="00B4668F"/>
    <w:rsid w:val="00B47081"/>
    <w:rsid w:val="00B47D67"/>
    <w:rsid w:val="00B5004D"/>
    <w:rsid w:val="00B50791"/>
    <w:rsid w:val="00B52430"/>
    <w:rsid w:val="00B53A60"/>
    <w:rsid w:val="00B5420A"/>
    <w:rsid w:val="00B5537D"/>
    <w:rsid w:val="00B556FC"/>
    <w:rsid w:val="00B613F8"/>
    <w:rsid w:val="00B65AD0"/>
    <w:rsid w:val="00B65E8E"/>
    <w:rsid w:val="00B71F69"/>
    <w:rsid w:val="00B720B7"/>
    <w:rsid w:val="00B73928"/>
    <w:rsid w:val="00B75BA5"/>
    <w:rsid w:val="00B85B08"/>
    <w:rsid w:val="00B865BC"/>
    <w:rsid w:val="00B9030A"/>
    <w:rsid w:val="00B915AA"/>
    <w:rsid w:val="00B93874"/>
    <w:rsid w:val="00B93F33"/>
    <w:rsid w:val="00B94704"/>
    <w:rsid w:val="00B94ADA"/>
    <w:rsid w:val="00B94BBB"/>
    <w:rsid w:val="00B95413"/>
    <w:rsid w:val="00B957B6"/>
    <w:rsid w:val="00B97B36"/>
    <w:rsid w:val="00BA0330"/>
    <w:rsid w:val="00BA0C9F"/>
    <w:rsid w:val="00BA10B6"/>
    <w:rsid w:val="00BA17CF"/>
    <w:rsid w:val="00BA227C"/>
    <w:rsid w:val="00BA40B8"/>
    <w:rsid w:val="00BA46CD"/>
    <w:rsid w:val="00BA51C3"/>
    <w:rsid w:val="00BA67C2"/>
    <w:rsid w:val="00BA7FE7"/>
    <w:rsid w:val="00BB05F7"/>
    <w:rsid w:val="00BB0F68"/>
    <w:rsid w:val="00BB1DF5"/>
    <w:rsid w:val="00BB5716"/>
    <w:rsid w:val="00BC472D"/>
    <w:rsid w:val="00BC55F9"/>
    <w:rsid w:val="00BC5926"/>
    <w:rsid w:val="00BC6D84"/>
    <w:rsid w:val="00BC7133"/>
    <w:rsid w:val="00BD0299"/>
    <w:rsid w:val="00BD0BE7"/>
    <w:rsid w:val="00BD0D70"/>
    <w:rsid w:val="00BD20BF"/>
    <w:rsid w:val="00BD293C"/>
    <w:rsid w:val="00BD2A40"/>
    <w:rsid w:val="00BD6C9D"/>
    <w:rsid w:val="00BD76CB"/>
    <w:rsid w:val="00BE1E23"/>
    <w:rsid w:val="00BE2B56"/>
    <w:rsid w:val="00BE4513"/>
    <w:rsid w:val="00BE7F1E"/>
    <w:rsid w:val="00BF0F9C"/>
    <w:rsid w:val="00BF25CC"/>
    <w:rsid w:val="00BF3F15"/>
    <w:rsid w:val="00BF5BBF"/>
    <w:rsid w:val="00BF6950"/>
    <w:rsid w:val="00BF6FA8"/>
    <w:rsid w:val="00C0206E"/>
    <w:rsid w:val="00C0346A"/>
    <w:rsid w:val="00C04F4A"/>
    <w:rsid w:val="00C11F4A"/>
    <w:rsid w:val="00C12AAE"/>
    <w:rsid w:val="00C139D1"/>
    <w:rsid w:val="00C13E90"/>
    <w:rsid w:val="00C155F8"/>
    <w:rsid w:val="00C15743"/>
    <w:rsid w:val="00C15BB9"/>
    <w:rsid w:val="00C166E4"/>
    <w:rsid w:val="00C24CEC"/>
    <w:rsid w:val="00C2547D"/>
    <w:rsid w:val="00C25666"/>
    <w:rsid w:val="00C2637B"/>
    <w:rsid w:val="00C30E95"/>
    <w:rsid w:val="00C31C53"/>
    <w:rsid w:val="00C332B9"/>
    <w:rsid w:val="00C35416"/>
    <w:rsid w:val="00C35912"/>
    <w:rsid w:val="00C359BD"/>
    <w:rsid w:val="00C404F9"/>
    <w:rsid w:val="00C40886"/>
    <w:rsid w:val="00C4167E"/>
    <w:rsid w:val="00C43788"/>
    <w:rsid w:val="00C43C6F"/>
    <w:rsid w:val="00C44E21"/>
    <w:rsid w:val="00C45061"/>
    <w:rsid w:val="00C46B1F"/>
    <w:rsid w:val="00C47A1F"/>
    <w:rsid w:val="00C47E55"/>
    <w:rsid w:val="00C50314"/>
    <w:rsid w:val="00C503CB"/>
    <w:rsid w:val="00C5197A"/>
    <w:rsid w:val="00C53DEA"/>
    <w:rsid w:val="00C53FCD"/>
    <w:rsid w:val="00C544D3"/>
    <w:rsid w:val="00C54F93"/>
    <w:rsid w:val="00C55FD1"/>
    <w:rsid w:val="00C63694"/>
    <w:rsid w:val="00C648D5"/>
    <w:rsid w:val="00C64ADB"/>
    <w:rsid w:val="00C64D85"/>
    <w:rsid w:val="00C70EF5"/>
    <w:rsid w:val="00C71286"/>
    <w:rsid w:val="00C71EB5"/>
    <w:rsid w:val="00C72C19"/>
    <w:rsid w:val="00C73868"/>
    <w:rsid w:val="00C745AF"/>
    <w:rsid w:val="00C74724"/>
    <w:rsid w:val="00C756BD"/>
    <w:rsid w:val="00C76AEC"/>
    <w:rsid w:val="00C77CD3"/>
    <w:rsid w:val="00C80A4D"/>
    <w:rsid w:val="00C80DA3"/>
    <w:rsid w:val="00C86298"/>
    <w:rsid w:val="00C9284C"/>
    <w:rsid w:val="00C92953"/>
    <w:rsid w:val="00C93895"/>
    <w:rsid w:val="00C94212"/>
    <w:rsid w:val="00C94EF5"/>
    <w:rsid w:val="00C958CC"/>
    <w:rsid w:val="00C970E5"/>
    <w:rsid w:val="00C978E2"/>
    <w:rsid w:val="00C97E41"/>
    <w:rsid w:val="00CA14FF"/>
    <w:rsid w:val="00CA1627"/>
    <w:rsid w:val="00CA1EE7"/>
    <w:rsid w:val="00CA21BA"/>
    <w:rsid w:val="00CA2F1D"/>
    <w:rsid w:val="00CA2F71"/>
    <w:rsid w:val="00CA3F77"/>
    <w:rsid w:val="00CA3F8F"/>
    <w:rsid w:val="00CA487C"/>
    <w:rsid w:val="00CA4A6D"/>
    <w:rsid w:val="00CA6E36"/>
    <w:rsid w:val="00CB0917"/>
    <w:rsid w:val="00CB1144"/>
    <w:rsid w:val="00CB2224"/>
    <w:rsid w:val="00CB4747"/>
    <w:rsid w:val="00CB5D82"/>
    <w:rsid w:val="00CB5F7D"/>
    <w:rsid w:val="00CB6731"/>
    <w:rsid w:val="00CB7087"/>
    <w:rsid w:val="00CB7420"/>
    <w:rsid w:val="00CC1405"/>
    <w:rsid w:val="00CC1940"/>
    <w:rsid w:val="00CC1B6A"/>
    <w:rsid w:val="00CC213C"/>
    <w:rsid w:val="00CC273C"/>
    <w:rsid w:val="00CC7008"/>
    <w:rsid w:val="00CC7963"/>
    <w:rsid w:val="00CD02B4"/>
    <w:rsid w:val="00CD0666"/>
    <w:rsid w:val="00CD0E7D"/>
    <w:rsid w:val="00CD2B2A"/>
    <w:rsid w:val="00CD6368"/>
    <w:rsid w:val="00CD6E96"/>
    <w:rsid w:val="00CD7089"/>
    <w:rsid w:val="00CE220B"/>
    <w:rsid w:val="00CE2B13"/>
    <w:rsid w:val="00CE2C85"/>
    <w:rsid w:val="00CE31A5"/>
    <w:rsid w:val="00CE3BB2"/>
    <w:rsid w:val="00CE3E85"/>
    <w:rsid w:val="00CE3F63"/>
    <w:rsid w:val="00CE6785"/>
    <w:rsid w:val="00CE7D8A"/>
    <w:rsid w:val="00CF3CC7"/>
    <w:rsid w:val="00CF4391"/>
    <w:rsid w:val="00CF43C6"/>
    <w:rsid w:val="00CF58FF"/>
    <w:rsid w:val="00CF6D8A"/>
    <w:rsid w:val="00D03BF0"/>
    <w:rsid w:val="00D03EB0"/>
    <w:rsid w:val="00D05555"/>
    <w:rsid w:val="00D07C71"/>
    <w:rsid w:val="00D07EB4"/>
    <w:rsid w:val="00D10653"/>
    <w:rsid w:val="00D114DE"/>
    <w:rsid w:val="00D11ACE"/>
    <w:rsid w:val="00D11E48"/>
    <w:rsid w:val="00D1227E"/>
    <w:rsid w:val="00D14582"/>
    <w:rsid w:val="00D15DF3"/>
    <w:rsid w:val="00D16849"/>
    <w:rsid w:val="00D17123"/>
    <w:rsid w:val="00D17EC2"/>
    <w:rsid w:val="00D202C2"/>
    <w:rsid w:val="00D2184E"/>
    <w:rsid w:val="00D21FDC"/>
    <w:rsid w:val="00D222DA"/>
    <w:rsid w:val="00D227D5"/>
    <w:rsid w:val="00D22D17"/>
    <w:rsid w:val="00D23030"/>
    <w:rsid w:val="00D23941"/>
    <w:rsid w:val="00D239DE"/>
    <w:rsid w:val="00D23D03"/>
    <w:rsid w:val="00D31E03"/>
    <w:rsid w:val="00D31E85"/>
    <w:rsid w:val="00D324A3"/>
    <w:rsid w:val="00D326C2"/>
    <w:rsid w:val="00D327AA"/>
    <w:rsid w:val="00D33E14"/>
    <w:rsid w:val="00D346EB"/>
    <w:rsid w:val="00D3478D"/>
    <w:rsid w:val="00D34928"/>
    <w:rsid w:val="00D35D8C"/>
    <w:rsid w:val="00D35FB6"/>
    <w:rsid w:val="00D42C15"/>
    <w:rsid w:val="00D45F6F"/>
    <w:rsid w:val="00D50E24"/>
    <w:rsid w:val="00D51519"/>
    <w:rsid w:val="00D51542"/>
    <w:rsid w:val="00D51D90"/>
    <w:rsid w:val="00D5632F"/>
    <w:rsid w:val="00D57513"/>
    <w:rsid w:val="00D57C1F"/>
    <w:rsid w:val="00D60197"/>
    <w:rsid w:val="00D601BC"/>
    <w:rsid w:val="00D60FA4"/>
    <w:rsid w:val="00D62D1A"/>
    <w:rsid w:val="00D63250"/>
    <w:rsid w:val="00D6526A"/>
    <w:rsid w:val="00D65FA2"/>
    <w:rsid w:val="00D67D39"/>
    <w:rsid w:val="00D711F7"/>
    <w:rsid w:val="00D731F1"/>
    <w:rsid w:val="00D7420B"/>
    <w:rsid w:val="00D74A08"/>
    <w:rsid w:val="00D771AB"/>
    <w:rsid w:val="00D7774A"/>
    <w:rsid w:val="00D80354"/>
    <w:rsid w:val="00D814AA"/>
    <w:rsid w:val="00D8270F"/>
    <w:rsid w:val="00D829F7"/>
    <w:rsid w:val="00D83B1D"/>
    <w:rsid w:val="00D83DDA"/>
    <w:rsid w:val="00D84787"/>
    <w:rsid w:val="00D84B42"/>
    <w:rsid w:val="00D84BA8"/>
    <w:rsid w:val="00D85080"/>
    <w:rsid w:val="00D85D4E"/>
    <w:rsid w:val="00D87063"/>
    <w:rsid w:val="00D9159B"/>
    <w:rsid w:val="00D92A7E"/>
    <w:rsid w:val="00D9315C"/>
    <w:rsid w:val="00D9700A"/>
    <w:rsid w:val="00D97DEF"/>
    <w:rsid w:val="00DA0B62"/>
    <w:rsid w:val="00DA1E97"/>
    <w:rsid w:val="00DA4FCE"/>
    <w:rsid w:val="00DA5116"/>
    <w:rsid w:val="00DA61F6"/>
    <w:rsid w:val="00DA63AD"/>
    <w:rsid w:val="00DA668B"/>
    <w:rsid w:val="00DA7EB0"/>
    <w:rsid w:val="00DB2605"/>
    <w:rsid w:val="00DB42F9"/>
    <w:rsid w:val="00DB50D1"/>
    <w:rsid w:val="00DB7AD6"/>
    <w:rsid w:val="00DB7D63"/>
    <w:rsid w:val="00DC0C0F"/>
    <w:rsid w:val="00DC2559"/>
    <w:rsid w:val="00DC29A9"/>
    <w:rsid w:val="00DC3EC7"/>
    <w:rsid w:val="00DC479E"/>
    <w:rsid w:val="00DC7485"/>
    <w:rsid w:val="00DD0EBE"/>
    <w:rsid w:val="00DD21DB"/>
    <w:rsid w:val="00DD3AF0"/>
    <w:rsid w:val="00DD604F"/>
    <w:rsid w:val="00DD70B7"/>
    <w:rsid w:val="00DD76DD"/>
    <w:rsid w:val="00DE14F5"/>
    <w:rsid w:val="00DE28B2"/>
    <w:rsid w:val="00DE47AA"/>
    <w:rsid w:val="00DE5907"/>
    <w:rsid w:val="00DE5AC3"/>
    <w:rsid w:val="00DE6002"/>
    <w:rsid w:val="00DF0256"/>
    <w:rsid w:val="00DF2C90"/>
    <w:rsid w:val="00DF3E68"/>
    <w:rsid w:val="00DF5067"/>
    <w:rsid w:val="00DF718B"/>
    <w:rsid w:val="00DF7D02"/>
    <w:rsid w:val="00E0266A"/>
    <w:rsid w:val="00E0569D"/>
    <w:rsid w:val="00E10338"/>
    <w:rsid w:val="00E10DE4"/>
    <w:rsid w:val="00E153F7"/>
    <w:rsid w:val="00E16F9C"/>
    <w:rsid w:val="00E174E4"/>
    <w:rsid w:val="00E179AF"/>
    <w:rsid w:val="00E17E2A"/>
    <w:rsid w:val="00E20CE2"/>
    <w:rsid w:val="00E2125D"/>
    <w:rsid w:val="00E22F13"/>
    <w:rsid w:val="00E26ABA"/>
    <w:rsid w:val="00E27DC8"/>
    <w:rsid w:val="00E31E2C"/>
    <w:rsid w:val="00E36213"/>
    <w:rsid w:val="00E36B23"/>
    <w:rsid w:val="00E4363E"/>
    <w:rsid w:val="00E4420E"/>
    <w:rsid w:val="00E44524"/>
    <w:rsid w:val="00E4505C"/>
    <w:rsid w:val="00E455D5"/>
    <w:rsid w:val="00E455E5"/>
    <w:rsid w:val="00E47A72"/>
    <w:rsid w:val="00E5107E"/>
    <w:rsid w:val="00E5339E"/>
    <w:rsid w:val="00E5483A"/>
    <w:rsid w:val="00E551ED"/>
    <w:rsid w:val="00E57B46"/>
    <w:rsid w:val="00E61620"/>
    <w:rsid w:val="00E6177C"/>
    <w:rsid w:val="00E6280C"/>
    <w:rsid w:val="00E62D65"/>
    <w:rsid w:val="00E655FB"/>
    <w:rsid w:val="00E65B17"/>
    <w:rsid w:val="00E66380"/>
    <w:rsid w:val="00E67B26"/>
    <w:rsid w:val="00E70F2D"/>
    <w:rsid w:val="00E71B92"/>
    <w:rsid w:val="00E7271C"/>
    <w:rsid w:val="00E73117"/>
    <w:rsid w:val="00E76562"/>
    <w:rsid w:val="00E80925"/>
    <w:rsid w:val="00E83CE6"/>
    <w:rsid w:val="00E83F70"/>
    <w:rsid w:val="00E84AC0"/>
    <w:rsid w:val="00E86458"/>
    <w:rsid w:val="00E92C44"/>
    <w:rsid w:val="00E930F8"/>
    <w:rsid w:val="00E94484"/>
    <w:rsid w:val="00E947EF"/>
    <w:rsid w:val="00E961ED"/>
    <w:rsid w:val="00E96325"/>
    <w:rsid w:val="00E97627"/>
    <w:rsid w:val="00EA0E41"/>
    <w:rsid w:val="00EA1E0E"/>
    <w:rsid w:val="00EA3C3B"/>
    <w:rsid w:val="00EA40C1"/>
    <w:rsid w:val="00EA5203"/>
    <w:rsid w:val="00EA57DE"/>
    <w:rsid w:val="00EA6274"/>
    <w:rsid w:val="00EA751B"/>
    <w:rsid w:val="00EA79B8"/>
    <w:rsid w:val="00EB01FE"/>
    <w:rsid w:val="00EB0780"/>
    <w:rsid w:val="00EB08E9"/>
    <w:rsid w:val="00EB0F04"/>
    <w:rsid w:val="00EB28C8"/>
    <w:rsid w:val="00EB3AAB"/>
    <w:rsid w:val="00EB440F"/>
    <w:rsid w:val="00EB77D6"/>
    <w:rsid w:val="00EC06BD"/>
    <w:rsid w:val="00EC1B71"/>
    <w:rsid w:val="00EC1F20"/>
    <w:rsid w:val="00EC4AB7"/>
    <w:rsid w:val="00EC4DC7"/>
    <w:rsid w:val="00EC67CF"/>
    <w:rsid w:val="00EC7890"/>
    <w:rsid w:val="00EC7A25"/>
    <w:rsid w:val="00EC7B69"/>
    <w:rsid w:val="00EC7BB9"/>
    <w:rsid w:val="00ED0B60"/>
    <w:rsid w:val="00ED1F99"/>
    <w:rsid w:val="00ED28C9"/>
    <w:rsid w:val="00ED7576"/>
    <w:rsid w:val="00EE00BF"/>
    <w:rsid w:val="00EE22ED"/>
    <w:rsid w:val="00EE3571"/>
    <w:rsid w:val="00EE4E5B"/>
    <w:rsid w:val="00EE4FE9"/>
    <w:rsid w:val="00EE5154"/>
    <w:rsid w:val="00EE5277"/>
    <w:rsid w:val="00EE6104"/>
    <w:rsid w:val="00EE6EFC"/>
    <w:rsid w:val="00EF0B3F"/>
    <w:rsid w:val="00EF2F79"/>
    <w:rsid w:val="00EF3EE6"/>
    <w:rsid w:val="00EF4EE9"/>
    <w:rsid w:val="00EF4F21"/>
    <w:rsid w:val="00F01B55"/>
    <w:rsid w:val="00F02DE2"/>
    <w:rsid w:val="00F03837"/>
    <w:rsid w:val="00F056E8"/>
    <w:rsid w:val="00F06162"/>
    <w:rsid w:val="00F06784"/>
    <w:rsid w:val="00F0704F"/>
    <w:rsid w:val="00F1184D"/>
    <w:rsid w:val="00F11CC8"/>
    <w:rsid w:val="00F12367"/>
    <w:rsid w:val="00F126FC"/>
    <w:rsid w:val="00F134B2"/>
    <w:rsid w:val="00F14B62"/>
    <w:rsid w:val="00F1555B"/>
    <w:rsid w:val="00F20478"/>
    <w:rsid w:val="00F205BB"/>
    <w:rsid w:val="00F20BAF"/>
    <w:rsid w:val="00F21F95"/>
    <w:rsid w:val="00F222C4"/>
    <w:rsid w:val="00F23D56"/>
    <w:rsid w:val="00F23FBC"/>
    <w:rsid w:val="00F24263"/>
    <w:rsid w:val="00F268FE"/>
    <w:rsid w:val="00F26D0A"/>
    <w:rsid w:val="00F316C1"/>
    <w:rsid w:val="00F32390"/>
    <w:rsid w:val="00F336AD"/>
    <w:rsid w:val="00F33759"/>
    <w:rsid w:val="00F3433B"/>
    <w:rsid w:val="00F3682B"/>
    <w:rsid w:val="00F41623"/>
    <w:rsid w:val="00F42AFE"/>
    <w:rsid w:val="00F43AFE"/>
    <w:rsid w:val="00F4502E"/>
    <w:rsid w:val="00F45283"/>
    <w:rsid w:val="00F476A6"/>
    <w:rsid w:val="00F5325D"/>
    <w:rsid w:val="00F55E22"/>
    <w:rsid w:val="00F60A5E"/>
    <w:rsid w:val="00F61131"/>
    <w:rsid w:val="00F61210"/>
    <w:rsid w:val="00F66D8A"/>
    <w:rsid w:val="00F67B55"/>
    <w:rsid w:val="00F71593"/>
    <w:rsid w:val="00F72DEE"/>
    <w:rsid w:val="00F73B75"/>
    <w:rsid w:val="00F75439"/>
    <w:rsid w:val="00F77A5F"/>
    <w:rsid w:val="00F80B56"/>
    <w:rsid w:val="00F81003"/>
    <w:rsid w:val="00F817BA"/>
    <w:rsid w:val="00F82565"/>
    <w:rsid w:val="00F82B9C"/>
    <w:rsid w:val="00F8451D"/>
    <w:rsid w:val="00F845A5"/>
    <w:rsid w:val="00F860EB"/>
    <w:rsid w:val="00F86BA5"/>
    <w:rsid w:val="00F872DC"/>
    <w:rsid w:val="00F87D4C"/>
    <w:rsid w:val="00F90726"/>
    <w:rsid w:val="00F92130"/>
    <w:rsid w:val="00F927E5"/>
    <w:rsid w:val="00F932C6"/>
    <w:rsid w:val="00F95A08"/>
    <w:rsid w:val="00F95BC9"/>
    <w:rsid w:val="00F96CE6"/>
    <w:rsid w:val="00F97848"/>
    <w:rsid w:val="00FA09B0"/>
    <w:rsid w:val="00FA0F4C"/>
    <w:rsid w:val="00FA27E6"/>
    <w:rsid w:val="00FA3458"/>
    <w:rsid w:val="00FA3C28"/>
    <w:rsid w:val="00FA3C53"/>
    <w:rsid w:val="00FA3DA6"/>
    <w:rsid w:val="00FA4197"/>
    <w:rsid w:val="00FA4B2A"/>
    <w:rsid w:val="00FA7BA5"/>
    <w:rsid w:val="00FB0BFF"/>
    <w:rsid w:val="00FB2A08"/>
    <w:rsid w:val="00FB307D"/>
    <w:rsid w:val="00FB318D"/>
    <w:rsid w:val="00FB3DB3"/>
    <w:rsid w:val="00FB58FA"/>
    <w:rsid w:val="00FB65BE"/>
    <w:rsid w:val="00FB68AD"/>
    <w:rsid w:val="00FC5092"/>
    <w:rsid w:val="00FC73B8"/>
    <w:rsid w:val="00FC7DFB"/>
    <w:rsid w:val="00FC7FCD"/>
    <w:rsid w:val="00FD099C"/>
    <w:rsid w:val="00FD1149"/>
    <w:rsid w:val="00FD2E2C"/>
    <w:rsid w:val="00FD73CE"/>
    <w:rsid w:val="00FD790B"/>
    <w:rsid w:val="00FE1425"/>
    <w:rsid w:val="00FE28D1"/>
    <w:rsid w:val="00FE3FE1"/>
    <w:rsid w:val="00FF090C"/>
    <w:rsid w:val="00FF1D84"/>
    <w:rsid w:val="00FF28D4"/>
    <w:rsid w:val="00FF29DE"/>
    <w:rsid w:val="00FF3788"/>
    <w:rsid w:val="00FF5C8E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E8E90"/>
  <w15:docId w15:val="{99DEAE96-DD1E-48F0-8FCD-8324554E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5F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226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32226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2226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32226F"/>
    <w:rPr>
      <w:sz w:val="24"/>
      <w:szCs w:val="24"/>
    </w:rPr>
  </w:style>
  <w:style w:type="paragraph" w:customStyle="1" w:styleId="Default">
    <w:name w:val="Default"/>
    <w:rsid w:val="004A404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4A4047"/>
    <w:pPr>
      <w:autoSpaceDE w:val="0"/>
      <w:autoSpaceDN w:val="0"/>
      <w:adjustRightInd w:val="0"/>
    </w:pPr>
  </w:style>
  <w:style w:type="paragraph" w:styleId="FootnoteText">
    <w:name w:val="footnote text"/>
    <w:basedOn w:val="Normal"/>
    <w:link w:val="FootnoteTextChar"/>
    <w:semiHidden/>
    <w:unhideWhenUsed/>
    <w:rsid w:val="004A40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4047"/>
  </w:style>
  <w:style w:type="character" w:styleId="FootnoteReference">
    <w:name w:val="footnote reference"/>
    <w:semiHidden/>
    <w:unhideWhenUsed/>
    <w:rsid w:val="004A4047"/>
    <w:rPr>
      <w:vertAlign w:val="superscript"/>
    </w:rPr>
  </w:style>
  <w:style w:type="table" w:styleId="TableGrid">
    <w:name w:val="Table Grid"/>
    <w:basedOn w:val="TableNormal"/>
    <w:uiPriority w:val="39"/>
    <w:rsid w:val="00BA46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9E7B33"/>
    <w:pPr>
      <w:autoSpaceDE w:val="0"/>
      <w:autoSpaceDN w:val="0"/>
      <w:adjustRightInd w:val="0"/>
    </w:pPr>
    <w:rPr>
      <w:rFonts w:ascii="EUAlbertina" w:hAnsi="EUAlbertina"/>
    </w:rPr>
  </w:style>
  <w:style w:type="paragraph" w:styleId="BalloonText">
    <w:name w:val="Balloon Text"/>
    <w:basedOn w:val="Normal"/>
    <w:link w:val="BalloonTextChar"/>
    <w:semiHidden/>
    <w:unhideWhenUsed/>
    <w:rsid w:val="00AB4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B4C6B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9368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6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3683"/>
    <w:rPr>
      <w:b/>
      <w:bCs/>
    </w:rPr>
  </w:style>
  <w:style w:type="character" w:customStyle="1" w:styleId="CommentSubjectChar">
    <w:name w:val="Comment Subject Char"/>
    <w:link w:val="CommentSubject"/>
    <w:semiHidden/>
    <w:rsid w:val="00193683"/>
    <w:rPr>
      <w:b/>
      <w:bCs/>
    </w:rPr>
  </w:style>
  <w:style w:type="paragraph" w:styleId="ListParagraph">
    <w:name w:val="List Paragraph"/>
    <w:basedOn w:val="Normal"/>
    <w:uiPriority w:val="34"/>
    <w:qFormat/>
    <w:rsid w:val="00D51519"/>
    <w:pPr>
      <w:ind w:left="720"/>
      <w:contextualSpacing/>
    </w:pPr>
  </w:style>
  <w:style w:type="character" w:styleId="Hyperlink">
    <w:name w:val="Hyperlink"/>
    <w:uiPriority w:val="99"/>
    <w:unhideWhenUsed/>
    <w:rsid w:val="006C5D77"/>
    <w:rPr>
      <w:color w:val="0000FF"/>
      <w:u w:val="single"/>
    </w:rPr>
  </w:style>
  <w:style w:type="paragraph" w:styleId="Revision">
    <w:name w:val="Revision"/>
    <w:hidden/>
    <w:uiPriority w:val="99"/>
    <w:semiHidden/>
    <w:rsid w:val="0014337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3D1A30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003"/>
    <w:rPr>
      <w:color w:val="605E5C"/>
      <w:shd w:val="clear" w:color="auto" w:fill="E1DFDD"/>
    </w:rPr>
  </w:style>
  <w:style w:type="paragraph" w:customStyle="1" w:styleId="tt">
    <w:name w:val="tt"/>
    <w:basedOn w:val="Normal"/>
    <w:rsid w:val="00311174"/>
    <w:pPr>
      <w:jc w:val="center"/>
    </w:pPr>
    <w:rPr>
      <w:b/>
      <w:bCs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F55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e78ea170-ba40-462d-bf61-655f99ae95fe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C95310A8-9260-4084-A2C2-C06089911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2E7C0-6C95-443A-BDAD-05D5D1B456D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4384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P. Mamaliga</dc:creator>
  <cp:keywords/>
  <dc:description/>
  <cp:lastModifiedBy>Ion P. Josan</cp:lastModifiedBy>
  <cp:revision>9</cp:revision>
  <dcterms:created xsi:type="dcterms:W3CDTF">2024-11-27T10:44:00Z</dcterms:created>
  <dcterms:modified xsi:type="dcterms:W3CDTF">2024-11-28T06:33:00Z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e78ea170-ba40-462d-bf61-655f99ae95fe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MSIP_Label_38962dcf-d39f-4edc-a396-338a56ba9170_Enabled">
    <vt:lpwstr>true</vt:lpwstr>
  </property>
  <property fmtid="{D5CDD505-2E9C-101B-9397-08002B2CF9AE}" pid="6" name="MSIP_Label_38962dcf-d39f-4edc-a396-338a56ba9170_SetDate">
    <vt:lpwstr>2024-11-22T10:56:17Z</vt:lpwstr>
  </property>
  <property fmtid="{D5CDD505-2E9C-101B-9397-08002B2CF9AE}" pid="7" name="MSIP_Label_38962dcf-d39f-4edc-a396-338a56ba9170_Method">
    <vt:lpwstr>Privileged</vt:lpwstr>
  </property>
  <property fmtid="{D5CDD505-2E9C-101B-9397-08002B2CF9AE}" pid="8" name="MSIP_Label_38962dcf-d39f-4edc-a396-338a56ba9170_Name">
    <vt:lpwstr>NONE</vt:lpwstr>
  </property>
  <property fmtid="{D5CDD505-2E9C-101B-9397-08002B2CF9AE}" pid="9" name="MSIP_Label_38962dcf-d39f-4edc-a396-338a56ba9170_SiteId">
    <vt:lpwstr>5887d430-0034-4561-b771-12c77faf2fa0</vt:lpwstr>
  </property>
  <property fmtid="{D5CDD505-2E9C-101B-9397-08002B2CF9AE}" pid="10" name="MSIP_Label_38962dcf-d39f-4edc-a396-338a56ba9170_ActionId">
    <vt:lpwstr>d19dbcd9-53b5-41c4-8ea2-4944f3ad8fa0</vt:lpwstr>
  </property>
  <property fmtid="{D5CDD505-2E9C-101B-9397-08002B2CF9AE}" pid="11" name="MSIP_Label_38962dcf-d39f-4edc-a396-338a56ba9170_ContentBits">
    <vt:lpwstr>0</vt:lpwstr>
  </property>
</Properties>
</file>